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21" w:lineRule="exact"/>
        <w:rPr>
          <w:sz w:val="24"/>
          <w:szCs w:val="24"/>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39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2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6" w:lineRule="exact"/>
        <w:rPr>
          <w:sz w:val="24"/>
          <w:szCs w:val="24"/>
          <w:color w:val="auto"/>
        </w:rPr>
      </w:pPr>
    </w:p>
    <w:p>
      <w:pPr>
        <w:ind w:left="4740"/>
        <w:spacing w:after="0"/>
        <w:tabs>
          <w:tab w:leader="none" w:pos="642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164" w:lineRule="exact"/>
        <w:rPr>
          <w:sz w:val="24"/>
          <w:szCs w:val="24"/>
          <w:color w:val="auto"/>
        </w:rPr>
      </w:pPr>
    </w:p>
    <w:p>
      <w:pPr>
        <w:spacing w:after="0" w:line="207" w:lineRule="exact"/>
        <w:tabs>
          <w:tab w:leader="none" w:pos="318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9"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97"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480" w:hanging="454"/>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 240.14a-12</w:t>
      </w:r>
    </w:p>
    <w:p>
      <w:pPr>
        <w:spacing w:after="0" w:line="200" w:lineRule="exact"/>
        <w:rPr>
          <w:sz w:val="24"/>
          <w:szCs w:val="24"/>
          <w:color w:val="auto"/>
        </w:rPr>
      </w:pPr>
    </w:p>
    <w:p>
      <w:pPr>
        <w:spacing w:after="0" w:line="3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0"/>
          <w:szCs w:val="40"/>
          <w:b w:val="1"/>
          <w:bCs w:val="1"/>
          <w:color w:val="auto"/>
        </w:rPr>
        <w:t>MACROGENICS, INC.</w:t>
      </w:r>
    </w:p>
    <w:p>
      <w:pPr>
        <w:spacing w:after="0" w:line="6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07"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440" w:hanging="414"/>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85" w:lineRule="exact"/>
        <w:rPr>
          <w:sz w:val="24"/>
          <w:szCs w:val="24"/>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84" w:lineRule="exact"/>
        <w:rPr>
          <w:rFonts w:ascii="MS PGothic" w:cs="MS PGothic" w:eastAsia="MS PGothic" w:hAnsi="MS PGothic"/>
          <w:sz w:val="18"/>
          <w:szCs w:val="18"/>
          <w:color w:val="auto"/>
        </w:rPr>
      </w:pPr>
    </w:p>
    <w:p>
      <w:pPr>
        <w:ind w:left="440" w:hanging="414"/>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973455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857" w:right="1440" w:bottom="1440" w:gutter="0" w:footer="0" w:header="0"/>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9704 Medical Center Drive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TO BE HELD ON MAY 19,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MacroGenics, Inc.:</w:t>
      </w:r>
    </w:p>
    <w:p>
      <w:pPr>
        <w:spacing w:after="0" w:line="113" w:lineRule="exact"/>
        <w:rPr>
          <w:sz w:val="20"/>
          <w:szCs w:val="20"/>
          <w:color w:val="auto"/>
        </w:rPr>
      </w:pPr>
    </w:p>
    <w:p>
      <w:pPr>
        <w:ind w:right="220" w:firstLine="445"/>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Stockholders (the “Annual Meeting”) of MacroGenics, Inc., 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held on May 19, 2026, at 9:00 a.m. Eastern time. The Annual Meeting will be held in a virtual meeting format only via the Internet, with no physical in-person meeting, for the following purposes:</w:t>
      </w:r>
    </w:p>
    <w:p>
      <w:pPr>
        <w:spacing w:after="0" w:line="67" w:lineRule="exact"/>
        <w:rPr>
          <w:sz w:val="20"/>
          <w:szCs w:val="20"/>
          <w:color w:val="auto"/>
        </w:rPr>
      </w:pPr>
    </w:p>
    <w:p>
      <w:pPr>
        <w:ind w:left="1540" w:right="100" w:hanging="722"/>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three Class I directors listed in the attached proxy materials to hold office until the 2029 Annual Meeting of Stockholders or until their successors are elected and qualified or until their earlier death, resignation or removal;</w:t>
      </w:r>
    </w:p>
    <w:p>
      <w:pPr>
        <w:spacing w:after="0" w:line="53" w:lineRule="exact"/>
        <w:rPr>
          <w:rFonts w:ascii="Times New Roman" w:cs="Times New Roman" w:eastAsia="Times New Roman" w:hAnsi="Times New Roman"/>
          <w:sz w:val="18"/>
          <w:szCs w:val="18"/>
          <w:color w:val="auto"/>
        </w:rPr>
      </w:pPr>
    </w:p>
    <w:p>
      <w:pPr>
        <w:ind w:left="1540" w:right="80" w:hanging="722"/>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our Board of Directors of Ernst &amp; Young LLP as the independent registered public accounting firm of the Company for its fiscal year ending December 31, 2026;</w:t>
      </w:r>
    </w:p>
    <w:p>
      <w:pPr>
        <w:spacing w:after="0" w:line="53" w:lineRule="exact"/>
        <w:rPr>
          <w:rFonts w:ascii="Times New Roman" w:cs="Times New Roman" w:eastAsia="Times New Roman" w:hAnsi="Times New Roman"/>
          <w:sz w:val="18"/>
          <w:szCs w:val="18"/>
          <w:color w:val="auto"/>
        </w:rPr>
      </w:pPr>
    </w:p>
    <w:p>
      <w:pPr>
        <w:ind w:left="1540" w:hanging="722"/>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our named executive officers as disclosed in the attached proxy statement;</w:t>
      </w:r>
    </w:p>
    <w:p>
      <w:pPr>
        <w:spacing w:after="0" w:line="117" w:lineRule="exact"/>
        <w:rPr>
          <w:rFonts w:ascii="Times New Roman" w:cs="Times New Roman" w:eastAsia="Times New Roman" w:hAnsi="Times New Roman"/>
          <w:sz w:val="18"/>
          <w:szCs w:val="18"/>
          <w:color w:val="auto"/>
        </w:rPr>
      </w:pPr>
    </w:p>
    <w:p>
      <w:pPr>
        <w:ind w:left="1540" w:right="360" w:hanging="722"/>
        <w:spacing w:after="0" w:line="282" w:lineRule="auto"/>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MacroGenics, Inc. 2023 Equity Incentive Plan to increase the number of shares of our common stock available for issuance thereunder by 1,250,000 shares; and</w:t>
      </w:r>
    </w:p>
    <w:p>
      <w:pPr>
        <w:spacing w:after="0" w:line="53" w:lineRule="exact"/>
        <w:rPr>
          <w:rFonts w:ascii="Times New Roman" w:cs="Times New Roman" w:eastAsia="Times New Roman" w:hAnsi="Times New Roman"/>
          <w:sz w:val="18"/>
          <w:szCs w:val="18"/>
          <w:color w:val="auto"/>
        </w:rPr>
      </w:pPr>
    </w:p>
    <w:p>
      <w:pPr>
        <w:ind w:left="1540" w:hanging="722"/>
        <w:spacing w:after="0"/>
        <w:tabs>
          <w:tab w:leader="none" w:pos="1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or postponement thereof.</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Only stockholders who owned our common stock at the close of business on March 27, 2026 (the "Record Date"), can vote at the Annual Meeting or any adjournment or postponement thereof.</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Board of Directors recommends that you vote FOR the election of the director nominees, and FOR Proposal Nos. 2, 3 and 4.</w:t>
      </w:r>
    </w:p>
    <w:p>
      <w:pPr>
        <w:spacing w:after="0" w:line="221" w:lineRule="exact"/>
        <w:rPr>
          <w:sz w:val="20"/>
          <w:szCs w:val="20"/>
          <w:color w:val="auto"/>
        </w:rPr>
      </w:pPr>
    </w:p>
    <w:p>
      <w:pPr>
        <w:ind w:right="120" w:firstLine="445"/>
        <w:spacing w:after="0" w:line="259" w:lineRule="auto"/>
        <w:rPr>
          <w:sz w:val="20"/>
          <w:szCs w:val="20"/>
          <w:color w:val="auto"/>
        </w:rPr>
      </w:pPr>
      <w:r>
        <w:rPr>
          <w:rFonts w:ascii="Times New Roman" w:cs="Times New Roman" w:eastAsia="Times New Roman" w:hAnsi="Times New Roman"/>
          <w:sz w:val="18"/>
          <w:szCs w:val="18"/>
          <w:b w:val="1"/>
          <w:bCs w:val="1"/>
          <w:color w:val="auto"/>
        </w:rPr>
        <w:t>Your vote is important. Whether or not you plan to attend the Annual Meeting, please vote by Internet, by telephone or by completing, signing and dating the accompanying proxy card and returning it as soon as possible. If you have received and are using an enclosed return envelope, no postage need be affixed if it is mailed in the United States. If you receive more than one notice or more than one proxy card because your shares are registered in different names or addresses, you should vote each set of shares separately to ensure that all of your shares will be voted.</w:t>
      </w:r>
    </w:p>
    <w:p>
      <w:pPr>
        <w:spacing w:after="0" w:line="179" w:lineRule="exact"/>
        <w:rPr>
          <w:sz w:val="20"/>
          <w:szCs w:val="20"/>
          <w:color w:val="auto"/>
        </w:rPr>
      </w:pPr>
    </w:p>
    <w:p>
      <w:pPr>
        <w:ind w:right="580" w:firstLine="445"/>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May 19, 2026: Our proxy materials and annual report on Form 10-K for the year ended December 31, 2025 are available at www.proxydocs.com/MGNX.</w:t>
      </w:r>
    </w:p>
    <w:p>
      <w:pPr>
        <w:spacing w:after="0" w:line="200" w:lineRule="exact"/>
        <w:rPr>
          <w:sz w:val="20"/>
          <w:szCs w:val="20"/>
          <w:color w:val="auto"/>
        </w:rPr>
      </w:pPr>
    </w:p>
    <w:p>
      <w:pPr>
        <w:spacing w:after="0" w:line="242"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17145</wp:posOffset>
            </wp:positionV>
            <wp:extent cx="2417445" cy="9861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17445" cy="986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Jeffrey S. Peters</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59" w:right="399" w:bottom="1440" w:gutter="0" w:footer="0" w:header="0"/>
        </w:sectPr>
      </w:pPr>
    </w:p>
    <w:bookmarkStart w:id="2" w:name="page3"/>
    <w:bookmarkEnd w:id="2"/>
    <w:p>
      <w:pPr>
        <w:ind w:left="458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Information About the Proxy Process and Voting</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Proposal No. 1. Election of Directors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Director Compensation</w:t>
      </w:r>
    </w:p>
    <w:p>
      <w:pPr>
        <w:spacing w:after="0" w:line="23" w:lineRule="exact"/>
        <w:rPr>
          <w:sz w:val="20"/>
          <w:szCs w:val="20"/>
          <w:color w:val="auto"/>
        </w:rPr>
      </w:pPr>
    </w:p>
    <w:p>
      <w:pPr>
        <w:ind w:left="40" w:right="3359"/>
        <w:spacing w:after="0" w:line="266" w:lineRule="auto"/>
        <w:rPr>
          <w:sz w:val="20"/>
          <w:szCs w:val="20"/>
          <w:color w:val="auto"/>
        </w:rPr>
      </w:pPr>
      <w:r>
        <w:rPr>
          <w:rFonts w:ascii="Times New Roman" w:cs="Times New Roman" w:eastAsia="Times New Roman" w:hAnsi="Times New Roman"/>
          <w:sz w:val="18"/>
          <w:szCs w:val="18"/>
          <w:color w:val="0000FF"/>
        </w:rPr>
        <w:t xml:space="preserve">Proposal No. 2. Ratification of Selection of Independent Registered Public Accounting Firm </w:t>
      </w:r>
      <w:r>
        <w:rPr>
          <w:rFonts w:ascii="Times New Roman" w:cs="Times New Roman" w:eastAsia="Times New Roman" w:hAnsi="Times New Roman"/>
          <w:sz w:val="18"/>
          <w:szCs w:val="18"/>
          <w:u w:val="single" w:color="auto"/>
          <w:color w:val="0000FF"/>
        </w:rPr>
        <w:t>Audit Committee Report</w:t>
      </w:r>
    </w:p>
    <w:p>
      <w:pPr>
        <w:ind w:left="40"/>
        <w:spacing w:after="0"/>
        <w:rPr>
          <w:sz w:val="20"/>
          <w:szCs w:val="20"/>
          <w:color w:val="auto"/>
        </w:rPr>
      </w:pPr>
      <w:r>
        <w:rPr>
          <w:rFonts w:ascii="Times New Roman" w:cs="Times New Roman" w:eastAsia="Times New Roman" w:hAnsi="Times New Roman"/>
          <w:sz w:val="18"/>
          <w:szCs w:val="18"/>
          <w:u w:val="single" w:color="auto"/>
          <w:color w:val="0000FF"/>
        </w:rPr>
        <w:t>Proposal No. 3. Advisory Vote on Executive Compensation</w:t>
      </w:r>
    </w:p>
    <w:p>
      <w:pPr>
        <w:spacing w:after="0" w:line="23" w:lineRule="exact"/>
        <w:rPr>
          <w:sz w:val="20"/>
          <w:szCs w:val="20"/>
          <w:color w:val="auto"/>
        </w:rPr>
      </w:pPr>
    </w:p>
    <w:p>
      <w:pPr>
        <w:ind w:left="40" w:right="2939" w:firstLine="4"/>
        <w:spacing w:after="0" w:line="266" w:lineRule="auto"/>
        <w:rPr>
          <w:sz w:val="20"/>
          <w:szCs w:val="20"/>
          <w:color w:val="auto"/>
        </w:rPr>
      </w:pPr>
      <w:r>
        <w:rPr>
          <w:rFonts w:ascii="Times New Roman" w:cs="Times New Roman" w:eastAsia="Times New Roman" w:hAnsi="Times New Roman"/>
          <w:sz w:val="18"/>
          <w:szCs w:val="18"/>
          <w:u w:val="single" w:color="auto"/>
          <w:color w:val="0000FF"/>
        </w:rPr>
        <w:t xml:space="preserve">Proposal No. 4. Approval of the Amendment to the MacroGenics, Inc. 2023 Equity Incentive Plan </w:t>
      </w:r>
      <w:r>
        <w:rPr>
          <w:rFonts w:ascii="Times New Roman" w:cs="Times New Roman" w:eastAsia="Times New Roman" w:hAnsi="Times New Roman"/>
          <w:sz w:val="18"/>
          <w:szCs w:val="18"/>
          <w:color w:val="0000FF"/>
        </w:rPr>
        <w:t>Corporate Governance</w:t>
      </w:r>
    </w:p>
    <w:p>
      <w:pPr>
        <w:ind w:left="40"/>
        <w:spacing w:after="0"/>
        <w:rPr>
          <w:sz w:val="20"/>
          <w:szCs w:val="20"/>
          <w:color w:val="auto"/>
        </w:rPr>
      </w:pPr>
      <w:r>
        <w:rPr>
          <w:rFonts w:ascii="Times New Roman" w:cs="Times New Roman" w:eastAsia="Times New Roman" w:hAnsi="Times New Roman"/>
          <w:sz w:val="18"/>
          <w:szCs w:val="18"/>
          <w:u w:val="single" w:color="auto"/>
          <w:color w:val="0000FF"/>
        </w:rPr>
        <w:t>Certain Relationships and Related Party Transactions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Executive Officers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Executive Compensation Information</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Item 402(v) Pay vs Performance</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Information About Equity Compensation Plans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Householding of Proxy Materials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u w:val="single" w:color="auto"/>
          <w:color w:val="0000FF"/>
        </w:rPr>
        <w:t>Where You Can Find More Information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Appendix A: MacroGenics, Inc. 2023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842010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59"/>
          </w:cols>
          <w:pgMar w:left="400" w:top="752"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9704 Medical Center Drive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Rockville, Maryland 20850</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FOR THE 2026 ANNUAL MEETING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STOCKHOLDERS TO BE HELD MAY 19, 2026</w:t>
      </w:r>
    </w:p>
    <w:p>
      <w:pPr>
        <w:spacing w:after="0" w:line="207"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We have made available to you this proxy statement and the accompanying proxy card because the Board of Directors (the “Board”) of MacroGenics, Inc. (referred to herein as the “Company”, “MacroGenics”, “we”, “us” or “our”) is soliciting your proxy to vote at our 2026 Annual Meeting of Stockholders (the “Annual Meeting”) to be held by means of a virtual format on Wednesday, May 19, 2026, at 9:00 a.m. Eastern time.</w:t>
      </w:r>
    </w:p>
    <w:p>
      <w:pPr>
        <w:spacing w:after="0" w:line="176"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Only stockholders of record and beneficial owners of shares of our common stock as of the close of business on March 27, 2026 (the “Record Date”), may attend and participate in the Annual Meeting, including voting and asking questions during the virtual Annual Meeting. You will not be able to attend the Annual Meeting physically in person. In order to attend the Annual Meeting, you must register at www.proxydocs.com/MGNX.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 (the “Notice”). If, on the Record Date, you are a beneficial owner of shares held in an account at a brokerage firm, bank, dealer or other similar organization, then you are the beneficial owner of shares held in “street name” and you will also need to provide the registered name on your account and the name of your broker, bank or other nominee as part of the registration process.</w:t>
      </w:r>
    </w:p>
    <w:p>
      <w:pPr>
        <w:spacing w:after="0" w:line="84" w:lineRule="exact"/>
        <w:rPr>
          <w:sz w:val="20"/>
          <w:szCs w:val="20"/>
          <w:color w:val="auto"/>
        </w:rPr>
      </w:pPr>
    </w:p>
    <w:p>
      <w:pPr>
        <w:ind w:left="900" w:right="160" w:hanging="325"/>
        <w:spacing w:after="0" w:line="282" w:lineRule="auto"/>
        <w:tabs>
          <w:tab w:leader="none" w:pos="8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summarizes information about the proposals to be considered at the Annual Meeting and other information you may find useful in determining how to vote.</w:t>
      </w:r>
    </w:p>
    <w:p>
      <w:pPr>
        <w:spacing w:after="0" w:line="5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 is the means by which you actually authorize another person to vote your shares in accordance with your instructions.</w:t>
      </w:r>
    </w:p>
    <w:p>
      <w:pPr>
        <w:spacing w:after="0" w:line="10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In addition to solicitations by mail, our directors, officers and regular employees, without additional remuneration, may solicit proxies by telephone and by email. All costs of the solicitation of proxies will be borne by us.</w:t>
      </w:r>
    </w:p>
    <w:p>
      <w:pPr>
        <w:spacing w:after="0" w:line="176"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We are pleased to take advantage of Securities and Exchange Commission (the “SEC”) rules that allow us to furnish our proxy materials, including our Annual Report on Form 10-K for the year ended December 31, 2025 (the "Annual Report on Form 10-K") and this proxy statement (collectively, the “Proxy Materials”), over the Internet. As a result, we are mailing to most of our stockholders the Notice instead of a paper copy of the Proxy Materials. The Notice contains instructions on how to access the Proxy Materials over the Internet and how to submit your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more timely manner, while reducing the environmental impact and lowering the costs of printing and distributing the Proxy Materials. This proxy statement and the Annual Report on Form 10-K is also available in the “Financials &amp; Filings” section of our website at http://ir.macrogenics.com/financial-information. The references to any of our web addresses in this proxy statement are inactive textual references only and do not constitute incorporation by reference of the information contained at or available through these web addresses.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Notice and the Proxy Materials are first being made available to stockholders on or about April 8, 2026.</w:t>
      </w:r>
    </w:p>
    <w:p>
      <w:pPr>
        <w:spacing w:after="0" w:line="225"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only voting securities of MacroGenics are shares of our common stock, of which there were 63,560,068 shares outstanding as of the Record Date. We need the holders of a majority in voting power of these shares of common stock to be present or represented by proxy at the Annual Meeting to have a quorum and conduct business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THE PROXY PROCESS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You are receiving the notice of Annual Meeting and related Proxy Materials from us because you owned shares of our common stock as of the Record Date for the Annual Meeting. The Board has made these materials available to you in connection with the Board’s solicitation of proxies for use at our Annual Meeting.</w:t>
      </w:r>
    </w:p>
    <w:p>
      <w:pPr>
        <w:spacing w:after="0" w:line="176" w:lineRule="exact"/>
        <w:rPr>
          <w:sz w:val="20"/>
          <w:szCs w:val="20"/>
          <w:color w:val="auto"/>
        </w:rPr>
      </w:pPr>
    </w:p>
    <w:p>
      <w:pPr>
        <w:jc w:val="both"/>
        <w:ind w:right="280" w:firstLine="445"/>
        <w:spacing w:after="0" w:line="312" w:lineRule="auto"/>
        <w:rPr>
          <w:sz w:val="20"/>
          <w:szCs w:val="20"/>
          <w:color w:val="auto"/>
        </w:rPr>
      </w:pPr>
      <w:r>
        <w:rPr>
          <w:rFonts w:ascii="Times New Roman" w:cs="Times New Roman" w:eastAsia="Times New Roman" w:hAnsi="Times New Roman"/>
          <w:sz w:val="17"/>
          <w:szCs w:val="17"/>
          <w:color w:val="auto"/>
        </w:rPr>
        <w:t>This proxy statement describes matters on which you may vote and provides you with other important information so that you can make informed decisions about such matters. You are requested to vote on the proposals described in this proxy statement and are invited to attend the Annual Meeting.</w:t>
      </w:r>
    </w:p>
    <w:p>
      <w:pPr>
        <w:spacing w:after="0" w:line="140"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We intend to make our Annual Report on Form 10-K, this proxy statement and the accompanying proxy card available on or about April 8, 2026 to all stockholders of record entitled to vote at the Annual Meeting. Beneficial owners will receive notice and electronic access to these materials, and may request physical copies from their respective brokers, custodians or fiduciaries who are holding the shares on their behalf.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At the close of business on the Record Date, there were 63,560,068 shares of our common stock issued and outstanding and entitled to vote.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of Record: Shares Registered in Your Name</w:t>
      </w:r>
    </w:p>
    <w:p>
      <w:pPr>
        <w:spacing w:after="0" w:line="22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the transfer agent for our common stock, Computershare Trust Company, N.A., then you are a stockholder of record. As a stockholder of record, you may vote at the Annual Meeting or vote by proxy. Whether or not you plan to attend the Annual Meeting, we urge you to fill out and return the enclosed proxy card or vote by proxy over the telephone or on the Internet as instructed below to ensure your vote is counted. To facilitate timely receipt of your proxy, we encourage you to vote by telephone or Internet promptly by following the instructions on the enclosed proxy card.</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Beneficial Owner: Shares Registered in the Name of a Broker, Bank or Other Agent</w:t>
      </w:r>
    </w:p>
    <w:p>
      <w:pPr>
        <w:spacing w:after="0" w:line="229" w:lineRule="exact"/>
        <w:rPr>
          <w:sz w:val="20"/>
          <w:szCs w:val="20"/>
          <w:color w:val="auto"/>
        </w:rPr>
      </w:pPr>
    </w:p>
    <w:p>
      <w:pPr>
        <w:jc w:val="both"/>
        <w:ind w:right="40" w:firstLine="445"/>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regarding how to vote the shares in your account. You are also invited to attend the Annual Meeting. If you are the beneficial owner of shares held in street name, you will receive instructions from the brokerage firm, bank, dealer or other similar organization that must be followed for that organization to vote your shares per your instructions. Beneficial holders may be required to obtain a legal proxy in order to vote during the meeting.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voting requirements to elect directors and approve the other proposals described in the proxy statement?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vote required to elect directors and approve each of the matters scheduled for a vote at the Annual Meeting is set forth below:</w:t>
      </w:r>
    </w:p>
    <w:p>
      <w:pPr>
        <w:sectPr>
          <w:pgSz w:w="11900" w:h="16838" w:orient="portrait"/>
          <w:cols w:equalWidth="0" w:num="1">
            <w:col w:w="11240"/>
          </w:cols>
          <w:pgMar w:left="320" w:top="765" w:right="339" w:bottom="1440" w:gutter="0" w:footer="0" w:header="0"/>
        </w:sectPr>
      </w:pPr>
    </w:p>
    <w:p>
      <w:pPr>
        <w:spacing w:after="0" w:line="2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6"/>
          <w:szCs w:val="16"/>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21590</wp:posOffset>
            </wp:positionV>
            <wp:extent cx="35833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50" w:lineRule="exact"/>
        <w:rPr>
          <w:sz w:val="20"/>
          <w:szCs w:val="20"/>
          <w:color w:val="auto"/>
        </w:rPr>
      </w:pPr>
    </w:p>
    <w:p>
      <w:pPr>
        <w:ind w:left="700" w:hanging="18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Class I directors</w:t>
      </w:r>
    </w:p>
    <w:p>
      <w:pPr>
        <w:spacing w:after="0" w:line="49" w:lineRule="exact"/>
        <w:rPr>
          <w:rFonts w:ascii="Times New Roman" w:cs="Times New Roman" w:eastAsia="Times New Roman" w:hAnsi="Times New Roman"/>
          <w:sz w:val="18"/>
          <w:szCs w:val="18"/>
          <w:color w:val="auto"/>
        </w:rPr>
      </w:pPr>
    </w:p>
    <w:p>
      <w:pPr>
        <w:ind w:left="700" w:hanging="18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appointment of Ernst &amp; Young LLP</w:t>
      </w:r>
    </w:p>
    <w:p>
      <w:pPr>
        <w:spacing w:after="0" w:line="27" w:lineRule="exact"/>
        <w:rPr>
          <w:rFonts w:ascii="Times New Roman" w:cs="Times New Roman" w:eastAsia="Times New Roman" w:hAnsi="Times New Roman"/>
          <w:sz w:val="18"/>
          <w:szCs w:val="18"/>
          <w:color w:val="auto"/>
        </w:rPr>
      </w:pPr>
    </w:p>
    <w:p>
      <w:pPr>
        <w:ind w:left="680" w:right="120" w:hanging="168"/>
        <w:spacing w:after="0" w:line="234" w:lineRule="auto"/>
        <w:tabs>
          <w:tab w:leader="none" w:pos="69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vote to approve compensation of named executive officers as disclosed in this proxy statement</w:t>
      </w:r>
    </w:p>
    <w:p>
      <w:pPr>
        <w:spacing w:after="0" w:line="10" w:lineRule="exact"/>
        <w:rPr>
          <w:rFonts w:ascii="Times New Roman" w:cs="Times New Roman" w:eastAsia="Times New Roman" w:hAnsi="Times New Roman"/>
          <w:sz w:val="18"/>
          <w:szCs w:val="18"/>
          <w:color w:val="auto"/>
        </w:rPr>
      </w:pPr>
    </w:p>
    <w:p>
      <w:pPr>
        <w:ind w:left="700" w:hanging="188"/>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amendment to the 2023 Equity Incentive Plan</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21590</wp:posOffset>
            </wp:positionV>
            <wp:extent cx="14319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Plurality of votes cast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votes cast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Majority of votes cast</w:t>
      </w:r>
    </w:p>
    <w:p>
      <w:pPr>
        <w:spacing w:after="0" w:line="21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Majority of votes cast</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Board 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wp:posOffset>
            </wp:positionH>
            <wp:positionV relativeFrom="paragraph">
              <wp:posOffset>21590</wp:posOffset>
            </wp:positionV>
            <wp:extent cx="1431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31925" cy="8255"/>
                    </a:xfrm>
                    <a:prstGeom prst="rect">
                      <a:avLst/>
                    </a:prstGeom>
                    <a:noFill/>
                  </pic:spPr>
                </pic:pic>
              </a:graphicData>
            </a:graphic>
          </wp:anchor>
        </w:drawing>
      </w:r>
    </w:p>
    <w:p>
      <w:pPr>
        <w:spacing w:after="0" w:line="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204" w:lineRule="exact"/>
        <w:rPr>
          <w:sz w:val="20"/>
          <w:szCs w:val="20"/>
          <w:color w:val="auto"/>
        </w:rPr>
      </w:pPr>
    </w:p>
    <w:p>
      <w:pPr>
        <w:sectPr>
          <w:pgSz w:w="11900" w:h="16838" w:orient="portrait"/>
          <w:cols w:equalWidth="0" w:num="3">
            <w:col w:w="5940" w:space="720"/>
            <w:col w:w="1800" w:space="720"/>
            <w:col w:w="2060"/>
          </w:cols>
          <w:pgMar w:left="320" w:top="765" w:right="339" w:bottom="1440" w:gutter="0" w:footer="0" w:header="0"/>
          <w:type w:val="continuous"/>
        </w:sectPr>
      </w:pPr>
    </w:p>
    <w:p>
      <w:pPr>
        <w:spacing w:after="0" w:line="32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Shares voted “Abstain” or “Withhold” will be counted for the purposes of determining whether a quorum has been reached, but will have no effect on the approval of matters considered at the Annual Meeting. Votes may be cast by proxy or at the Annual Meeting. A “plurality” of the votes cast at the meeting for the election of directors means that the nominees who receive the most votes, even if less than a majority, will be the nominees elected by stockholders. A majority of votes cast means that the shares voted in favor of a proposal exceed the shares voted against a proposal.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Who can attend the Annual Meeting?</w:t>
      </w:r>
    </w:p>
    <w:p>
      <w:pPr>
        <w:spacing w:after="0" w:line="22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Only stockholders of record and beneficial owners of shares of our common stock as of the close of business on the Record Date may attend and participate in the Annual Meeting, including voting and asking questions during the virtual Annual Meeting. You will not be able to attend the Annual Meeting physically in person. In order to attend the Annual Meeting, you must register at www.proxydocs.com/MGNX. Upon completing your registration, you will receive further instructions via email from Mediant Communications, Inc. (“Mediant”), including a unique link that will allow you access to the Annual Meeting and to vote and submit questions during the Annual Meeting. As part of the registration process, you must enter the control number located on your proxy card, voting instruction form, or Notice. If, on the Record Date, you are a beneficial owner of shares held in an account at a brokerage firm, bank, dealer or other similar organization, then you are the beneficial owner of shares held in “street name”. You may be instructed to obtain a legal proxy from your broker, bank or other nominee and to submit a copy in advance of the meeting. Further instructions will be provided to you as part of your registration process. Requests for registration must be received no later than 11:59 p.m., Eastern time, on May 17,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Annual Meeting, how do I ask questions of management and the Board?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virtual Annual Meeting will allow stockholders to submit questions before and during the Annual Meeting. During a designated question and</w:t>
      </w:r>
    </w:p>
    <w:p>
      <w:pPr>
        <w:spacing w:after="0" w:line="5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answer period at the Annual Meeting, we will respond to appropriate questions submitted by stockholders. We will answer as many stockholder-submitted questions as time permits, and any questions that we are unable to address during the Annual Meeting will be answered following the meeting. If we receive substantially similar questions, we will group such questions together and provide a single response to avoid repetition.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at the Annual Meeting?</w:t>
      </w:r>
    </w:p>
    <w:p>
      <w:pPr>
        <w:spacing w:after="0" w:line="229" w:lineRule="exact"/>
        <w:rPr>
          <w:sz w:val="20"/>
          <w:szCs w:val="20"/>
          <w:color w:val="auto"/>
        </w:rPr>
      </w:pPr>
    </w:p>
    <w:p>
      <w:pPr>
        <w:ind w:right="60" w:firstLine="441"/>
        <w:spacing w:after="0" w:line="266" w:lineRule="auto"/>
        <w:rPr>
          <w:sz w:val="20"/>
          <w:szCs w:val="20"/>
          <w:color w:val="auto"/>
        </w:rPr>
      </w:pPr>
      <w:r>
        <w:rPr>
          <w:rFonts w:ascii="Times New Roman" w:cs="Times New Roman" w:eastAsia="Times New Roman" w:hAnsi="Times New Roman"/>
          <w:sz w:val="18"/>
          <w:szCs w:val="18"/>
          <w:color w:val="auto"/>
        </w:rPr>
        <w:t>If you were a stockholder of record as of the Record Date, or you hold a legal proxy provided by your brokerage firm, bank, dealer or other similar organization for the Annual Meeting, you may vote by attending the meeting. To attend the Annual Meeting and vote your shares, you must register for the Annual Meeting and provide the control number located on your Notice or proxy card. See “Who Can Attend the Annual Meeting” above.</w:t>
      </w:r>
    </w:p>
    <w:p>
      <w:pPr>
        <w:spacing w:after="0" w:line="176" w:lineRule="exact"/>
        <w:rPr>
          <w:sz w:val="20"/>
          <w:szCs w:val="20"/>
          <w:color w:val="auto"/>
        </w:rPr>
      </w:pPr>
    </w:p>
    <w:p>
      <w:pPr>
        <w:ind w:right="840" w:firstLine="445"/>
        <w:spacing w:after="0" w:line="282" w:lineRule="auto"/>
        <w:rPr>
          <w:sz w:val="20"/>
          <w:szCs w:val="20"/>
          <w:color w:val="auto"/>
        </w:rPr>
      </w:pPr>
      <w:r>
        <w:rPr>
          <w:rFonts w:ascii="Times New Roman" w:cs="Times New Roman" w:eastAsia="Times New Roman" w:hAnsi="Times New Roman"/>
          <w:sz w:val="18"/>
          <w:szCs w:val="18"/>
          <w:color w:val="auto"/>
        </w:rPr>
        <w:t>Whether or not you plan to attend the Annual Meeting, we urge you to vote and submit your proxy in advance of the Annual Meeting. For information on how to vote prior to the Annual Meeting, see “How can I vote my shares without attending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vote my shares without attending the Annual Meeting?</w:t>
      </w:r>
    </w:p>
    <w:p>
      <w:pPr>
        <w:spacing w:after="0" w:line="229" w:lineRule="exact"/>
        <w:rPr>
          <w:sz w:val="20"/>
          <w:szCs w:val="20"/>
          <w:color w:val="auto"/>
        </w:rPr>
      </w:pPr>
    </w:p>
    <w:p>
      <w:pPr>
        <w:ind w:right="200" w:firstLine="445"/>
        <w:spacing w:after="0" w:line="261" w:lineRule="auto"/>
        <w:rPr>
          <w:sz w:val="20"/>
          <w:szCs w:val="20"/>
          <w:color w:val="auto"/>
        </w:rPr>
      </w:pPr>
      <w:r>
        <w:rPr>
          <w:rFonts w:ascii="Times New Roman" w:cs="Times New Roman" w:eastAsia="Times New Roman" w:hAnsi="Times New Roman"/>
          <w:sz w:val="18"/>
          <w:szCs w:val="18"/>
          <w:color w:val="auto"/>
        </w:rPr>
        <w:t>Even if you plan to attend the Annual Meeting, we recommend that you vote before the Annual Meeting, as described below, so that your vote will be counted if you later decide not to attend the Annual Meeting. Voting by Internet or by telephone is fast and convenient, and your vote is immediately confirmed and tabulated. Submitting a proxy by Internet, telephone or mail prior to the Annual Meeting will not affect your right to attend the Annual Meeting and vote.</w:t>
      </w:r>
    </w:p>
    <w:p>
      <w:pPr>
        <w:spacing w:after="0" w:line="178" w:lineRule="exact"/>
        <w:rPr>
          <w:sz w:val="20"/>
          <w:szCs w:val="20"/>
          <w:color w:val="auto"/>
        </w:rPr>
      </w:pPr>
    </w:p>
    <w:p>
      <w:pPr>
        <w:ind w:right="10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If you hold shares in your own name as a stockholder of record</w:t>
      </w:r>
      <w:r>
        <w:rPr>
          <w:rFonts w:ascii="Times New Roman" w:cs="Times New Roman" w:eastAsia="Times New Roman" w:hAnsi="Times New Roman"/>
          <w:sz w:val="18"/>
          <w:szCs w:val="18"/>
          <w:color w:val="auto"/>
        </w:rPr>
        <w:t>, regardless of whether you received your Annual Meeting materials through the mail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via the Internet, you may vote before the Annual Meeting:</w:t>
      </w:r>
    </w:p>
    <w:p>
      <w:pPr>
        <w:spacing w:after="0" w:line="102" w:lineRule="exact"/>
        <w:rPr>
          <w:sz w:val="20"/>
          <w:szCs w:val="20"/>
          <w:color w:val="auto"/>
        </w:rPr>
      </w:pPr>
    </w:p>
    <w:p>
      <w:pPr>
        <w:ind w:left="900" w:right="240" w:hanging="325"/>
        <w:spacing w:after="0" w:line="286" w:lineRule="auto"/>
        <w:tabs>
          <w:tab w:leader="none" w:pos="8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Internet</w:t>
      </w:r>
      <w:r>
        <w:rPr>
          <w:rFonts w:ascii="Times New Roman" w:cs="Times New Roman" w:eastAsia="Times New Roman" w:hAnsi="Times New Roman"/>
          <w:sz w:val="18"/>
          <w:szCs w:val="18"/>
          <w:color w:val="auto"/>
        </w:rPr>
        <w:t>. If you received the Notice or a printed copy of the Proxy Materials, follow the instructions in the Notice or on the proxy card.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vote by Internet, you do not need to mail in a proxy card.</w:t>
      </w:r>
    </w:p>
    <w:p>
      <w:pPr>
        <w:spacing w:after="0" w:line="46" w:lineRule="exact"/>
        <w:rPr>
          <w:rFonts w:ascii="Times New Roman" w:cs="Times New Roman" w:eastAsia="Times New Roman" w:hAnsi="Times New Roman"/>
          <w:sz w:val="18"/>
          <w:szCs w:val="18"/>
          <w:color w:val="auto"/>
        </w:rPr>
      </w:pPr>
    </w:p>
    <w:p>
      <w:pPr>
        <w:ind w:left="900" w:right="20" w:hanging="325"/>
        <w:spacing w:after="0" w:line="286" w:lineRule="auto"/>
        <w:tabs>
          <w:tab w:leader="none" w:pos="8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Telephone</w:t>
      </w:r>
      <w:r>
        <w:rPr>
          <w:rFonts w:ascii="Times New Roman" w:cs="Times New Roman" w:eastAsia="Times New Roman" w:hAnsi="Times New Roman"/>
          <w:sz w:val="18"/>
          <w:szCs w:val="18"/>
          <w:color w:val="auto"/>
        </w:rPr>
        <w:t>. If you received a printed copy of the Proxy Materials, follow the instructions on the proxy card. If you vote by telephone, you do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need to mail in a proxy card.</w:t>
      </w:r>
    </w:p>
    <w:p>
      <w:pPr>
        <w:spacing w:after="0" w:line="46" w:lineRule="exact"/>
        <w:rPr>
          <w:rFonts w:ascii="Times New Roman" w:cs="Times New Roman" w:eastAsia="Times New Roman" w:hAnsi="Times New Roman"/>
          <w:sz w:val="18"/>
          <w:szCs w:val="18"/>
          <w:color w:val="auto"/>
        </w:rPr>
      </w:pPr>
    </w:p>
    <w:p>
      <w:pPr>
        <w:ind w:left="900" w:right="100" w:hanging="325"/>
        <w:spacing w:after="0" w:line="286" w:lineRule="auto"/>
        <w:tabs>
          <w:tab w:leader="none" w:pos="81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By Mail</w:t>
      </w:r>
      <w:r>
        <w:rPr>
          <w:rFonts w:ascii="Times New Roman" w:cs="Times New Roman" w:eastAsia="Times New Roman" w:hAnsi="Times New Roman"/>
          <w:sz w:val="18"/>
          <w:szCs w:val="18"/>
          <w:color w:val="auto"/>
        </w:rPr>
        <w:t>. If you received a printed copy of the Proxy Materials, complete, sign, date, and mail your proxy card in the enclosed, postage-prepaid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envelope.</w:t>
      </w:r>
    </w:p>
    <w:p>
      <w:pPr>
        <w:spacing w:after="0" w:line="159" w:lineRule="exact"/>
        <w:rPr>
          <w:sz w:val="20"/>
          <w:szCs w:val="20"/>
          <w:color w:val="auto"/>
        </w:rPr>
      </w:pPr>
    </w:p>
    <w:p>
      <w:pPr>
        <w:ind w:right="300" w:firstLine="445"/>
        <w:spacing w:after="0" w:line="266" w:lineRule="auto"/>
        <w:rPr>
          <w:sz w:val="20"/>
          <w:szCs w:val="20"/>
          <w:color w:val="auto"/>
        </w:rPr>
      </w:pPr>
      <w:r>
        <w:rPr>
          <w:rFonts w:ascii="Times New Roman" w:cs="Times New Roman" w:eastAsia="Times New Roman" w:hAnsi="Times New Roman"/>
          <w:sz w:val="18"/>
          <w:szCs w:val="18"/>
          <w:color w:val="auto"/>
        </w:rPr>
        <w:t>If you vote by Internet or by telephone, please do not mail in your proxy card (unless you intend for it to revoke your prior Internet or telephone vote). Your Internet or telephone vote will authorize the named proxies to vote your shares in the same manner as if you completed, signed and returned your proxy card.</w:t>
      </w:r>
    </w:p>
    <w:p>
      <w:pPr>
        <w:spacing w:after="0" w:line="176"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If you hold shares in street name, please refer to the information provided by the institution that holds your shares regarding how to provide them with voting instructions. If you beneficially hold your shares in street name and you do not submit specific voting instructions to your broker, your broker may generally vote your shares in its discretion on matters designated as “routine” under rules applicable to broker-dealers. However, a broker cannot vote shares held in street name on matters designated by these rules as “non-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ind w:right="20"/>
        <w:spacing w:after="0" w:line="282" w:lineRule="auto"/>
        <w:rPr>
          <w:sz w:val="20"/>
          <w:szCs w:val="20"/>
          <w:color w:val="auto"/>
        </w:rPr>
      </w:pPr>
      <w:r>
        <w:rPr>
          <w:rFonts w:ascii="Times New Roman" w:cs="Times New Roman" w:eastAsia="Times New Roman" w:hAnsi="Times New Roman"/>
          <w:sz w:val="18"/>
          <w:szCs w:val="18"/>
          <w:color w:val="auto"/>
        </w:rPr>
        <w:t>routine,” unless the broker receives specific voting instructions from the beneficial holder. See “What are ‘broker non-votes’?” and “Which ballot measures are considered ‘routine’ and ‘non-routine’?” below for additional information.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counts the votes?</w:t>
      </w:r>
    </w:p>
    <w:p>
      <w:pPr>
        <w:spacing w:after="0" w:line="229" w:lineRule="exact"/>
        <w:rPr>
          <w:sz w:val="20"/>
          <w:szCs w:val="20"/>
          <w:color w:val="auto"/>
        </w:rPr>
      </w:pPr>
    </w:p>
    <w:p>
      <w:pPr>
        <w:ind w:right="100" w:firstLine="445"/>
        <w:spacing w:after="0" w:line="266" w:lineRule="auto"/>
        <w:rPr>
          <w:sz w:val="20"/>
          <w:szCs w:val="20"/>
          <w:color w:val="auto"/>
        </w:rPr>
      </w:pPr>
      <w:r>
        <w:rPr>
          <w:rFonts w:ascii="Times New Roman" w:cs="Times New Roman" w:eastAsia="Times New Roman" w:hAnsi="Times New Roman"/>
          <w:sz w:val="18"/>
          <w:szCs w:val="18"/>
          <w:color w:val="auto"/>
        </w:rPr>
        <w:t>Mediant has been engaged as our independent agent to tabulate stockholder votes as the Inspector of Elections. If you are a stockholder of record, your executed proxy card should be returned directly to Mediant for tabulation. As noted above, if you hold your shares through a broker, your broker will return one proxy card to Mediant on behalf of all its clients.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Votes will be counted by Mediant, who will separately count (a) for Proposal No. 1 to elect directors, votes “For,” “Withhold” and broker non-votes,</w:t>
      </w:r>
    </w:p>
    <w:p>
      <w:pPr>
        <w:spacing w:after="0" w:line="27" w:lineRule="exact"/>
        <w:rPr>
          <w:sz w:val="20"/>
          <w:szCs w:val="20"/>
          <w:color w:val="auto"/>
        </w:rPr>
      </w:pPr>
    </w:p>
    <w:p>
      <w:pPr>
        <w:ind w:firstLine="8"/>
        <w:spacing w:after="0" w:line="252" w:lineRule="auto"/>
        <w:tabs>
          <w:tab w:leader="none" w:pos="2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Proposal No. 2 to ratify the selection of our auditor, votes “For” and “Against,” as well as abstentions, (c) for Proposal No. 3 on the compensation of our named executive officers, “For” and “Against,” as well as abstentions and broker non-votes and (d) for Proposal No. 4 to approve the amendment to the 2023 Equity Incentive Plan, votes “For” and “Against,” as well as abstentions and broker non-votes. If your shares are held in street name, you will need to obtain a voting instruction form from the institution that holds your shares and follow the instructions included on that form regarding how to instruct the institution that holds your shares to vote your shares. If you do not give instructions to the institution that holds your shares, the institution that holds your shares can vote your shares with respect to “routine” items, but not with respect to “non-routine” items. See “What are ‘broker non-votes’?” and “Which ballot measures are considered ‘routine’ and ‘non-routine’?” for more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director nominee withhold votes treated?</w:t>
      </w:r>
    </w:p>
    <w:p>
      <w:pPr>
        <w:spacing w:after="0" w:line="22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Director nominees are elected by a plurality of the votes cast at the Annual Meeting. The nominees receiving the highest number of votes “For” will be elected. Votes may be cast “For” or may be “Withheld” with respect to any or all of the director nominees. For purposes of the election of directors, votes that are “Withheld” and broker non-votes (described below) will be counted as “present” for purposes of establishing a quorum but will not be counted as votes cast and will have no effect on the result of the vote.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229" w:lineRule="exact"/>
        <w:rPr>
          <w:sz w:val="20"/>
          <w:szCs w:val="20"/>
          <w:color w:val="auto"/>
        </w:rPr>
      </w:pPr>
    </w:p>
    <w:p>
      <w:pPr>
        <w:ind w:right="80" w:firstLine="445"/>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“routine,” but not with respect to “non-routine” matters. In the event that a broker, bank, custodian, nominee or other record holder of common stock indicates on a proxy that it does not have discretionary authority to vote certain shares on a particular proposal, then those shares will be treated as broker non-votes with respect to that proposal. Accordingly, if you own shares through a nominee, such as a broker or bank, please be sure to instruct your nominee to vote to ensure that your vote is counted on each of the proposals.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Which ballot measures are considered “routine” and “non-routine”?</w:t>
      </w:r>
    </w:p>
    <w:p>
      <w:pPr>
        <w:spacing w:after="0" w:line="229"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color w:val="auto"/>
        </w:rPr>
        <w:t>The ratification of the appointment of Ernst &amp; Young LLP as our independent registered public accounting firm for the year ending December 31, 2026 (Proposal No. 2) is considered routine under applicable rules. A broker or other nominee may generally vote on routine matters, and therefore no broker non-votes are expected to occur in connection with Proposal No. 2. The election of directors (Proposal No. 1), the advisory vote approving compensation of the named executive officers (Proposal No. 3) and the approval of the amendment to the 2023 Equity Incentive Plan (Proposal No. 4) are considered non-routine matters under applicable rules. A broker or other nominee cannot vote without instructions from the beneficial owners on non-routine matters, and therefore we expect there may be broker non-votes on Proposals No. 1, 3 and 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 as of the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Our by-laws provide that a quorum will exist if stockholders holding a majority of the shares of common stock issued and outstanding and entitled to vote are present at the meeting or by proxy. Abstentions, withheld votes, and broker non-votes count as present for establishing a quorum but will not be counted as votes cast. If a quorum is not present, the Annual Meeting may be adjourned or postponed until a quorum is obtained.</w:t>
      </w:r>
    </w:p>
    <w:p>
      <w:pPr>
        <w:sectPr>
          <w:pgSz w:w="11900" w:h="16838" w:orient="portrait"/>
          <w:cols w:equalWidth="0" w:num="1">
            <w:col w:w="11220"/>
          </w:cols>
          <w:pgMar w:left="320" w:top="985" w:right="35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229"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If we receive a signed and dated proxy card or receive your instructions by Internet or by telephone and your instructions do not specify how your shares are to be voted, your shares will be voted “For” the election of each of the three nominees for director, “For” the ratification of the appointment of Ernst &amp; Young LLP as our independent registered public accounting firm for the year ending December 31, 2026, “For” the non-binding advisory approval of the compensation of the named executive officers and “For” the approval of the amendment to the 2023 Equity Incentive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 list of record stockholders as of the Record Date be available?</w:t>
      </w:r>
    </w:p>
    <w:p>
      <w:pPr>
        <w:spacing w:after="0" w:line="229" w:lineRule="exact"/>
        <w:rPr>
          <w:sz w:val="20"/>
          <w:szCs w:val="20"/>
          <w:color w:val="auto"/>
        </w:rPr>
      </w:pPr>
    </w:p>
    <w:p>
      <w:pPr>
        <w:ind w:right="380" w:firstLine="445"/>
        <w:spacing w:after="0" w:line="282" w:lineRule="auto"/>
        <w:rPr>
          <w:sz w:val="20"/>
          <w:szCs w:val="20"/>
          <w:color w:val="auto"/>
        </w:rPr>
      </w:pPr>
      <w:r>
        <w:rPr>
          <w:rFonts w:ascii="Times New Roman" w:cs="Times New Roman" w:eastAsia="Times New Roman" w:hAnsi="Times New Roman"/>
          <w:sz w:val="18"/>
          <w:szCs w:val="18"/>
          <w:color w:val="auto"/>
        </w:rPr>
        <w:t>For the ten days ending the day prior to the Annual Meeting, the list will be available at our corporate headquarters, 9704 Medical Center Drive, Rockville, MD 20850, for examination by any stockholder of record for a legally valid purpose during regular business hours.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other matters not on the proxy card are brought before the Annual Meeting for action by the stockholders?</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As of the date of this proxy statement, our Board does not intend to present any matters other than those described in this proxy statement at the Annual Meeting and is not aware of any matters to be presented by other parties. If other matters are properly brought before the Annual Meeting for action by the stockholders, proxies will be voted in accordance with the recommendation of the Board or, in the absence of such a recommendation, in accordance with the judgment of the proxy 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229" w:lineRule="exact"/>
        <w:rPr>
          <w:sz w:val="20"/>
          <w:szCs w:val="20"/>
          <w:color w:val="auto"/>
        </w:rPr>
      </w:pPr>
    </w:p>
    <w:p>
      <w:pPr>
        <w:ind w:right="460" w:firstLine="445"/>
        <w:spacing w:after="0" w:line="261" w:lineRule="auto"/>
        <w:rPr>
          <w:sz w:val="20"/>
          <w:szCs w:val="20"/>
          <w:color w:val="auto"/>
        </w:rPr>
      </w:pPr>
      <w:r>
        <w:rPr>
          <w:rFonts w:ascii="Times New Roman" w:cs="Times New Roman" w:eastAsia="Times New Roman" w:hAnsi="Times New Roman"/>
          <w:sz w:val="18"/>
          <w:szCs w:val="18"/>
          <w:color w:val="auto"/>
        </w:rPr>
        <w:t>We will pay for the entire cost of soliciting proxies. In addition to these mailed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 or more than one set of materials?</w:t>
      </w:r>
    </w:p>
    <w:p>
      <w:pPr>
        <w:spacing w:after="0" w:line="229" w:lineRule="exact"/>
        <w:rPr>
          <w:sz w:val="20"/>
          <w:szCs w:val="20"/>
          <w:color w:val="auto"/>
        </w:rPr>
      </w:pPr>
    </w:p>
    <w:p>
      <w:pPr>
        <w:ind w:right="380" w:firstLine="445"/>
        <w:spacing w:after="0" w:line="312" w:lineRule="auto"/>
        <w:rPr>
          <w:sz w:val="20"/>
          <w:szCs w:val="20"/>
          <w:color w:val="auto"/>
        </w:rPr>
      </w:pPr>
      <w:r>
        <w:rPr>
          <w:rFonts w:ascii="Times New Roman" w:cs="Times New Roman" w:eastAsia="Times New Roman" w:hAnsi="Times New Roman"/>
          <w:sz w:val="17"/>
          <w:szCs w:val="17"/>
          <w:color w:val="auto"/>
        </w:rPr>
        <w:t>It means that you have more than one account for your MacroGenics shares. Please vote by Internet or telephone using each of the identification numbers marked on each notice of Annual Meeting, or complete and submit all proxies by mail to ensure that all of your shares are voted.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Annual Meeting. If you are the record holder of your shares, you may revoke your proxy in any one of three ways:</w:t>
      </w:r>
    </w:p>
    <w:p>
      <w:pPr>
        <w:spacing w:after="0" w:line="54" w:lineRule="exact"/>
        <w:rPr>
          <w:sz w:val="20"/>
          <w:szCs w:val="20"/>
          <w:color w:val="auto"/>
        </w:rPr>
      </w:pPr>
    </w:p>
    <w:p>
      <w:pPr>
        <w:ind w:left="820" w:hanging="245"/>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with a later date by Internet, telephone or mail.</w:t>
      </w:r>
    </w:p>
    <w:p>
      <w:pPr>
        <w:spacing w:after="0" w:line="117" w:lineRule="exact"/>
        <w:rPr>
          <w:rFonts w:ascii="Times New Roman" w:cs="Times New Roman" w:eastAsia="Times New Roman" w:hAnsi="Times New Roman"/>
          <w:sz w:val="18"/>
          <w:szCs w:val="18"/>
          <w:color w:val="auto"/>
        </w:rPr>
      </w:pPr>
    </w:p>
    <w:p>
      <w:pPr>
        <w:ind w:left="900" w:right="80" w:hanging="325"/>
        <w:spacing w:after="0" w:line="282" w:lineRule="auto"/>
        <w:tabs>
          <w:tab w:leader="none" w:pos="8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our Corporate Secretary at 9704 Medical Center Drive, Rockville, Maryland 20850.</w:t>
      </w:r>
    </w:p>
    <w:p>
      <w:pPr>
        <w:spacing w:after="0" w:line="53" w:lineRule="exact"/>
        <w:rPr>
          <w:rFonts w:ascii="Times New Roman" w:cs="Times New Roman" w:eastAsia="Times New Roman" w:hAnsi="Times New Roman"/>
          <w:sz w:val="18"/>
          <w:szCs w:val="18"/>
          <w:color w:val="auto"/>
        </w:rPr>
      </w:pPr>
    </w:p>
    <w:p>
      <w:pPr>
        <w:ind w:left="900" w:right="200" w:hanging="325"/>
        <w:spacing w:after="0" w:line="282" w:lineRule="auto"/>
        <w:tabs>
          <w:tab w:leader="none" w:pos="81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Please note, however, that simply attending the Annual Meeting will not, by itself, revoke your proxy.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your shares are held by your broker, bank or other nominee, you should follow the instructions provided by such nominee.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or director nominations due for next year’s Annual Meeting of Stockholders?</w:t>
      </w:r>
    </w:p>
    <w:p>
      <w:pPr>
        <w:spacing w:after="0" w:line="22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To be considered for inclusion in the proxy materials for the 2027 Annual Meeting (the “2027 Annual Meeting”), your stockholder proposals must be submitted in writing by December 9, 2026, to our Corporate Secretary at 9704 Medical Center Drive, Rockville, Maryland 20850. However, if the date of the 2027 Annual Meeting is more than 30 days from May 19, 2027, the deadline is a reasonable time before we begin to print and send our proxy materials for the 2027 Annual Meeting. In addition, if you wish to present any other business at the 2027 Annual Meeting or to nominate a director pursuant to our by-laws, you must provide written notice to the Company not less than 90 days and no more than 120 days prior to the first anniversary of the preceding year’s Annual Meeting (February 18, 2027 and January 19, 2027, respectively); provided, that if the date of the 2027 Annual Meeting is more than 20 days before or more than 60 days after the first anniversary of this year’s Annual Meeting, you must give notice not earlier than the 120th day prior to the 2027 Annual Meeting and not later than the close of business on the later of (a) the 90th day prior to the 2027 Annual Meeting and (b) the tenth day following the day on which notice of the date of the 2027 Annual Meeting was mailed or public</w:t>
      </w:r>
    </w:p>
    <w:p>
      <w:pPr>
        <w:sectPr>
          <w:pgSz w:w="11900" w:h="16838" w:orient="portrait"/>
          <w:cols w:equalWidth="0" w:num="1">
            <w:col w:w="11220"/>
          </w:cols>
          <w:pgMar w:left="320" w:top="10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type w:val="continuous"/>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disclosure of the date of the 2027 Annual Meeting was made, whichever first occurs. You are also advised to review our by-laws, which contain additional requirements about advance notice of stockholder proposals and director nominations.</w:t>
      </w:r>
    </w:p>
    <w:p>
      <w:pPr>
        <w:spacing w:after="0" w:line="148" w:lineRule="exact"/>
        <w:rPr>
          <w:sz w:val="20"/>
          <w:szCs w:val="20"/>
          <w:color w:val="auto"/>
        </w:rPr>
      </w:pPr>
    </w:p>
    <w:p>
      <w:pPr>
        <w:ind w:right="380" w:firstLine="445"/>
        <w:spacing w:after="0" w:line="266"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our nominees must provide in their notice any additional information required by Rule 14a-19(b) under the Securities Exchange Act of 1934, as amended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Voting results will be announced by the Company pursuant to the filing of a Current Report on Form 8-K within four business days after the Annual Meeting. If final voting results are unavailable at that time, we will file an amended Current Report on Form 8-K within four business days of the day the final results become available.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85" w:right="4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PROPOSAL NO. 1</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Our Board is divided into three classes. Each class consists, as nearly as may be possible, of one-third of the total number of directors constituting the entire Board, and each class has a three-year term. Unless the Board determines that vacancies (including vacancies created by increases in the number of directors) will be filled by the stockholders, and except as otherwise provided by law, vacancies on the Board may be filled only by the affirmative vote of a majority of the remaining directors. A director elected by the Board to fill a vacancy (including a vacancy created by an increase in the number of directors) shall serve for the remainder of the term of the class of directors in which the vacancy occurred, subject to the election and qualification of such director’s successor, or until such director’s earlier death, resignation or removal.</w:t>
      </w:r>
    </w:p>
    <w:p>
      <w:pPr>
        <w:spacing w:after="0" w:line="187"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At the Annual Meeting, stockholders will have an opportunity to vote for the re-election of Scott Koenig, M.D., Ph.D., Federica O'Brien, and Eric Risser to serve as Class I directors. Each director nominee to be elected will hold office from the date of their election by the stockholders until the 2029 Annual Meeting of Stockholders or until their successor is elected and has been qualified, or until such director’s earlier death, resignation or removal.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Recommendation</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Class I director nominees.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22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This section provides information as of the date of this proxy statement about each Class I director nominee as well as those directors whose terms continue after the Annual Meeting. The information includes age, all positions and offices held with us, length of service as a director, principal occupation and employment for the past five years and the names of other publicly held companies of which s/he has served as a director during the past five years. For information about the number of shares of common stock beneficially owned by our directors as of March 27, 2026, please see “Security Ownership of Certain Beneficial Owners and Management” beginning on page 53.</w:t>
      </w:r>
    </w:p>
    <w:p>
      <w:pPr>
        <w:spacing w:after="0" w:line="183" w:lineRule="exact"/>
        <w:rPr>
          <w:sz w:val="20"/>
          <w:szCs w:val="20"/>
          <w:color w:val="auto"/>
        </w:rPr>
      </w:pPr>
    </w:p>
    <w:p>
      <w:pPr>
        <w:jc w:val="both"/>
        <w:ind w:right="120" w:firstLine="445"/>
        <w:spacing w:after="0" w:line="266" w:lineRule="auto"/>
        <w:rPr>
          <w:sz w:val="20"/>
          <w:szCs w:val="20"/>
          <w:color w:val="auto"/>
        </w:rPr>
      </w:pPr>
      <w:r>
        <w:rPr>
          <w:rFonts w:ascii="Times New Roman" w:cs="Times New Roman" w:eastAsia="Times New Roman" w:hAnsi="Times New Roman"/>
          <w:sz w:val="18"/>
          <w:szCs w:val="18"/>
          <w:color w:val="auto"/>
        </w:rPr>
        <w:t>Shares represented by executed proxies will be voted, if authority to do so is not withheld, for the election of the three nominees named below. Each of Scott Koenig, M.D., Ph.D., Federica O'Brien, and Eric Risser has agreed to serve if elected, and management has no reason to believe that any nominee will be unable to serve. Directors are elected by a plurality of the votes cast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Nominees for Election to a Three-Year Term Expiring at the 2029 Annual Meeting of Stockholders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Scott Koenig, M.D., Ph.D., age 73</w:t>
      </w:r>
    </w:p>
    <w:p>
      <w:pPr>
        <w:spacing w:after="0" w:line="256" w:lineRule="exact"/>
        <w:rPr>
          <w:sz w:val="20"/>
          <w:szCs w:val="20"/>
          <w:color w:val="auto"/>
        </w:rPr>
      </w:pPr>
    </w:p>
    <w:p>
      <w:pPr>
        <w:ind w:right="80" w:firstLine="445"/>
        <w:spacing w:after="0" w:line="254" w:lineRule="auto"/>
        <w:rPr>
          <w:sz w:val="20"/>
          <w:szCs w:val="20"/>
          <w:color w:val="auto"/>
        </w:rPr>
      </w:pPr>
      <w:r>
        <w:rPr>
          <w:rFonts w:ascii="Times New Roman" w:cs="Times New Roman" w:eastAsia="Times New Roman" w:hAnsi="Times New Roman"/>
          <w:sz w:val="18"/>
          <w:szCs w:val="18"/>
          <w:color w:val="auto"/>
        </w:rPr>
        <w:t>Dr. Koenig has served as a director since September 2001. Dr. Koenig served as our President, Chief Executive Officer from September 2001 through August 2025 and was one of our co-founders. Prior to joining MacroGenics, Dr. Koenig served as Senior Vice President of Research at MedImmune, Inc., where he participated in the selection and maturation of its product pipeline. From 1984 to 1990, he worked in the Laboratory of Immunoregulation at the National Institute of Allergy and Infectious Diseases at the National Institutes of Health, where he investigated the immune response to retroviruses and studied the pathogenesis of AIDS. Dr. Koenig currently serves as a member of the Board of Directors of the International Biomedical Research Alliance. Dr. Koenig previously served as Chairman of the Board of Directors of Applied Genetic Technologies Corporation until its acquisition in 2022 and on the Board of the Biotechnology Innovation Organization ("BIO") until 2025. Dr. Koenig received his A.B. and Ph.D. from Cornell University and his M.D. from the University of Texas Health Science Center in Houston. The Board believes that Dr. Koenig’s detailed knowledge of our company and his over 30 years in research and the biotechnology industry provide a valuable contribution to our Board.</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Federica O’Brien, age 68</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Ms. O’Brien has served as a director since February 2021. Ms. O'Brien is President of CFO'Brien Consulting, LLC, which she founded in 2018,</w:t>
      </w:r>
    </w:p>
    <w:p>
      <w:pPr>
        <w:spacing w:after="0" w:line="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providing strategic and operational consulting, and flex time chief financial officer services primarily for biotech companies. </w:t>
      </w:r>
      <w:r>
        <w:rPr>
          <w:rFonts w:ascii="Times New Roman" w:cs="Times New Roman" w:eastAsia="Times New Roman" w:hAnsi="Times New Roman"/>
          <w:sz w:val="21"/>
          <w:szCs w:val="21"/>
          <w:color w:val="auto"/>
        </w:rPr>
        <w:t>S</w:t>
      </w:r>
      <w:r>
        <w:rPr>
          <w:rFonts w:ascii="Times New Roman" w:cs="Times New Roman" w:eastAsia="Times New Roman" w:hAnsi="Times New Roman"/>
          <w:sz w:val="18"/>
          <w:szCs w:val="18"/>
          <w:color w:val="auto"/>
        </w:rPr>
        <w:t>he most recently served as Chief Financial Officer of Complexa Inc. from 2015 to 2017. Previously, Ms. O'Brien served as Chief Financial Officer of Cerecor Inc. from 2013 to 2015, and as Chief Financial Officer and Chief Operating Officer of Cervilenz, Inc. from 2011 to 2013. Ms. O'Brien was also Chief Financial Officer at Cardiokine Inc., a private biotech, and a Controller at Barrier Therapeutics, Inc., and Chief Financial Officer at Infonautics, Inc., both publicly held companies. Ms. O’Brien currently serves on the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ind w:right="140"/>
        <w:spacing w:after="0" w:line="266" w:lineRule="auto"/>
        <w:rPr>
          <w:sz w:val="20"/>
          <w:szCs w:val="20"/>
          <w:color w:val="auto"/>
        </w:rPr>
      </w:pPr>
      <w:r>
        <w:rPr>
          <w:rFonts w:ascii="Times New Roman" w:cs="Times New Roman" w:eastAsia="Times New Roman" w:hAnsi="Times New Roman"/>
          <w:sz w:val="18"/>
          <w:szCs w:val="18"/>
          <w:color w:val="auto"/>
        </w:rPr>
        <w:t>Board of Directors of TELA Bio, Inc. where she also chairs the Audit Committee. She began her career at public accounting firms, most recently as an Audit Manager for Coopers &amp; Lybrand. Ms. O’Brien received her B.A. in Accounting from Rutgers University and is a Certified Public Accountant-Inactive, retired after thirty-eight years. In November 2025 Ms. O'Brien earned a course completion certificate from MIT Sloan School of Management in</w:t>
      </w:r>
    </w:p>
    <w:p>
      <w:pPr>
        <w:ind w:right="500"/>
        <w:spacing w:after="0" w:line="282" w:lineRule="auto"/>
        <w:rPr>
          <w:sz w:val="20"/>
          <w:szCs w:val="20"/>
          <w:color w:val="auto"/>
        </w:rPr>
      </w:pPr>
      <w:r>
        <w:rPr>
          <w:rFonts w:ascii="Times New Roman" w:cs="Times New Roman" w:eastAsia="Times New Roman" w:hAnsi="Times New Roman"/>
          <w:sz w:val="18"/>
          <w:szCs w:val="18"/>
          <w:color w:val="auto"/>
        </w:rPr>
        <w:t>Cybersecurity Governance for the Board of Directors. The Board believes that Ms. O’Brien’s over 25 years of financial and operational leadership in biopharmaceutical, medical device, and technology companies and strong financial expertise qualify her to serve as a member of our Board.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Eric Risser, age 53</w:t>
      </w:r>
    </w:p>
    <w:p>
      <w:pPr>
        <w:spacing w:after="0" w:line="22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Mr. Risser has served as our President and Chief Executive Officer since August 2025 and previously served as our Chief Operating Officer. Prior to joining MacroGenics in 2009, Mr. Risser held the position of Senior Director, Business Development in the pharmaceutical group at Johnson &amp; Johnson, where he worked from 2003 to 2009. Before Johnson &amp; Johnson, Mr. Risser started and built a consulting practice that provided counsel to emerging life science companies in the United States and Europe. Earlier in his career, Mr. Risser held venture capital and investment banking positions with BA Venture Partners and Lehman Brothers Holdings Inc., respectively. Mr. Risser holds an M.B.A. from Stanford University and a B.A. from Yale University. The Board believes that Mr. Risser's detailed knowledge of our Company and his extensive life sciences industry experience and strategic expertise qualify him to serve on our Board.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 Directors Continuing in Office Until the 2027 Annual Meeting of Stockholders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Scott Jackson, age 61</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Mr. Jackson has served as a director since January 2017. Mr. Jackson served as Chief Executive Officer and as a member of the Board of Directors of Celator Pharmaceuticals, Inc. from April 2008 until July 2016, when the company was acquired by Jazz Pharmaceuticals plc. Mr. Jackson has more than 35 years of experience in the pharmaceutical and biotechnology industry and has held positions of increasing responsibility in sales, marketing and commercial development at Eli Lilly and Company, SmithKline Beecham, ImClone Systems Inc., Centocor Inc., a division of Johnson &amp; Johnson, Eximias Pharmaceutical and YM BioSciences. Mr. Jackson serves as a director of Spero Therapeutics, Inc., where he serves on the audit committee. He previously served on the Board of Directors of Mural Oncology plc. and GlycoMimetics, Inc. Mr. Jackson also serves on the Board of Directors of Philabundance, a non-profit organization addressing food insecurity in the Philadelphia region. He holds a B.S. in pharmacy from the Philadelphia College of Pharmacy and Science and an M.B.A. from the University of Notre Dame. Based on Mr. Jackson’s depth of experience in the pharmaceutical and biotechnology industries ranging from executive officer to director roles and experience with commercial development, the Board believes Mr. Jackson has the appropriate set of skills to serve as a member of our Board.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Margaret A. Liu, M.D., age 69</w:t>
      </w:r>
    </w:p>
    <w:p>
      <w:pPr>
        <w:spacing w:after="0" w:line="229" w:lineRule="exact"/>
        <w:rPr>
          <w:sz w:val="20"/>
          <w:szCs w:val="20"/>
          <w:color w:val="auto"/>
        </w:rPr>
      </w:pPr>
    </w:p>
    <w:p>
      <w:pPr>
        <w:ind w:right="80" w:firstLine="445"/>
        <w:spacing w:after="0" w:line="253" w:lineRule="auto"/>
        <w:rPr>
          <w:sz w:val="20"/>
          <w:szCs w:val="20"/>
          <w:color w:val="auto"/>
        </w:rPr>
      </w:pPr>
      <w:r>
        <w:rPr>
          <w:rFonts w:ascii="Times New Roman" w:cs="Times New Roman" w:eastAsia="Times New Roman" w:hAnsi="Times New Roman"/>
          <w:sz w:val="18"/>
          <w:szCs w:val="18"/>
          <w:color w:val="auto"/>
        </w:rPr>
        <w:t>Dr. Liu has served as a director since January 2023. Dr. Liu has served as the Chief Executive Officer of PAX Therapeutics since 2020. She is an Adjunct Full Professor at the University of California, San Francisco and Hedersdoktor with scientific affiliation in the Department of Medicine at the Karolinska Institutet. Dr. Liu widely consults for companies and NGOs such as WHO as an individual and through her activities as Principal of ProTherImmune LLC and previously held positions of increasing responsibility at Merck &amp; Co. and Chiron Corporation. She is a board member of the International Society for Vaccines (and President Emerita) as well as a director of Ipsen, where she chairs the Ethics, Governance, and Corporate Social Responsibility Committee and is a member of the Innovation and Development Committee. She served on the boards of Transgene, Sangamo Biosciences, Adjuvance Technologies and the International Vaccine Institute (established by the United Nations), and was Senior Advisor in Vaccinology at the Bill &amp; Melinda Gates Foundation. Dr. Liu obtained an M.D. from Harvard Medical School and a B.A. in Chemistry from Colorado College. She completed an Internship and Residency in Internal Medicine and a Fellowship in Endocrinology, all at Massachusetts General Hospital/Harvard Medical School and was an Instructor in Medicine at Harvard University. She also was a Visiting Scientist at MIT where she pioneered bispecific antibodies and an Adjunct Assistant Professor of Medicine at the University of Pennsylvania and a member of the NIH NIAID Advisory Council. The Board believes that Dr. Liu’s medical training and more than 30 years of experience in biotechnology and pharmaceuticals qualify her to serve as a member of our Board.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David Stump, M.D., age 76</w:t>
      </w:r>
    </w:p>
    <w:p>
      <w:pPr>
        <w:spacing w:after="0" w:line="2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Dr. Stump has served as a director since September 2013. Dr. Stump was most recently Executive Vice President, Research and Development at Human Genome Sciences, Inc., where he was employed from November 1999 until his retirement in December 2012. Dr. Stump also serves as a director of REGENXBIO, Inc., which is a publicly held company. He was previously a director of Dendreon Corporation, Portola Pharmaceuticals, Inc. and Sunesis Pharmaceuticals, Inc., all publicly held companies. He also serves on the board of trustees of Earlham College. He holds an A.B. from Earlham College and an M.D. from Indiana University and completed his residency and fellowship training in internal medicine, hematology, oncology, and biochemistry at the University 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1" w:name="page12"/>
    <w:bookmarkEnd w:id="11"/>
    <w:p>
      <w:pPr>
        <w:ind w:right="240"/>
        <w:spacing w:after="0" w:line="282" w:lineRule="auto"/>
        <w:rPr>
          <w:sz w:val="20"/>
          <w:szCs w:val="20"/>
          <w:color w:val="auto"/>
        </w:rPr>
      </w:pPr>
      <w:r>
        <w:rPr>
          <w:rFonts w:ascii="Times New Roman" w:cs="Times New Roman" w:eastAsia="Times New Roman" w:hAnsi="Times New Roman"/>
          <w:sz w:val="18"/>
          <w:szCs w:val="18"/>
          <w:color w:val="auto"/>
        </w:rPr>
        <w:t>Iowa. The Board believes that Dr. Stump’s medical training and 23 years of experience in research and development and operations in the biotechnology industry, as well as his public company board service, qualify him to serve as a member of our Board.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III Directors Continuing in Office Until the 2028 Annual Meeting of Stockholders</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Karen Ferrante, M.D., age 68</w:t>
      </w:r>
    </w:p>
    <w:p>
      <w:pPr>
        <w:spacing w:after="0" w:line="229" w:lineRule="exact"/>
        <w:rPr>
          <w:sz w:val="20"/>
          <w:szCs w:val="20"/>
          <w:color w:val="auto"/>
        </w:rPr>
      </w:pPr>
    </w:p>
    <w:p>
      <w:pPr>
        <w:ind w:right="140" w:firstLine="445"/>
        <w:spacing w:after="0" w:line="253" w:lineRule="auto"/>
        <w:rPr>
          <w:sz w:val="20"/>
          <w:szCs w:val="20"/>
          <w:color w:val="auto"/>
        </w:rPr>
      </w:pPr>
      <w:r>
        <w:rPr>
          <w:rFonts w:ascii="Times New Roman" w:cs="Times New Roman" w:eastAsia="Times New Roman" w:hAnsi="Times New Roman"/>
          <w:sz w:val="18"/>
          <w:szCs w:val="18"/>
          <w:color w:val="auto"/>
        </w:rPr>
        <w:t>Dr. Ferrante has served as a director since January 2017. Dr. Ferrante, a hematologist-oncologist, most recently served as Chief Medical Officer and Head of Research and Development at Tokai Pharmaceuticals and brings over 25 years of oncology drug development experience to the Board. Prior to Tokai, Dr. Ferrante held several senior level positions at Millennium Pharmaceuticals Inc. and parent company Takeda Pharmaceuticals, including Oncology Therapeutic Area Head, Takeda Cambridge Site Head and Chief Medical Officer. Dr. Ferrante previously held positions of increasing responsibility at Pfizer Global Research and Development and Bristol-Myers Squibb. Dr. Ferrante holds an M.D. from Georgetown University and completed her internship and residency in internal medicine at New England Deaconess Hospital (now part of Beth Israel Deaconess Medical Center) followed by a fellowship in hematology and oncology. She currently serves as a member of the board of Cogent Biosciences (formerly Unum Therapeutics), a publicly traded biopharmaceutical company. She previously served on the board of Hutch-Med (formerly Chi-Med) a publicly traded biopharmaceutical company and Progenics Pharmaceuticals, Inc. and Baxalta Inc., previously publicly traded biopharmaceutical companies. She also served on the scientific advisory board of Kazia Therapeutics (2016-2022) and the Trillium Therapeutics' scientific advisory board until its acquisition by Pfizer in 2021. Based on Dr. Ferrante’s depth of experience in the biotechnology industry, ranging from executive officer to director roles, the Board believes Dr. Ferrante has the appropriate set of skills to serve as a member of our Board.</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William Heiden, age 66</w:t>
      </w:r>
    </w:p>
    <w:p>
      <w:pPr>
        <w:spacing w:after="0" w:line="229" w:lineRule="exact"/>
        <w:rPr>
          <w:sz w:val="20"/>
          <w:szCs w:val="20"/>
          <w:color w:val="auto"/>
        </w:rPr>
      </w:pPr>
    </w:p>
    <w:p>
      <w:pPr>
        <w:ind w:firstLine="445"/>
        <w:spacing w:after="0" w:line="252" w:lineRule="auto"/>
        <w:rPr>
          <w:sz w:val="20"/>
          <w:szCs w:val="20"/>
          <w:color w:val="auto"/>
        </w:rPr>
      </w:pPr>
      <w:r>
        <w:rPr>
          <w:rFonts w:ascii="Times New Roman" w:cs="Times New Roman" w:eastAsia="Times New Roman" w:hAnsi="Times New Roman"/>
          <w:sz w:val="18"/>
          <w:szCs w:val="18"/>
          <w:color w:val="auto"/>
        </w:rPr>
        <w:t>Mr. Heiden has served as chair of our Board of Directors since May 2022. Mr. Heiden brings over 35 years of experience in the biotechnology and pharmaceutical industry to the MacroGenics Board of Directors. Mr. Heiden most recently served as President, Chief Executive Officer and board member of AMAG Pharmaceuticals building a diverse portfolio of commercial and development-stage products from May 2012 to January 2020. Prior to joining AMAG, he served as President and Chief Executive Officer of Genzyme Transgenics Company (GTC), from June 2010 to May 2012, which was acquired by LFB, S.A. Prior to joining GTC, Mr. Heiden was President, Chief Executive Officer and board member of venture-backed Elixir Pharmaceuticals from 2004 to 2008. Prior to joining Elixir, Mr. Heiden served as President and Chief Operating Officer of Praecis Pharmaceuticals from 2002 to 2004, which was acquired by GSK. From 1987 to 2002, Mr. Heiden progressed through various positions of increasing responsibility at Schering-Plough Corporation (now Merck &amp; Co.), including managing a number of businesses in the United States, Europe and Canada. Mr. Heiden also serves on the Board of Directors of Atara Biotherapeutics, Inc., a publicly held company. He also serves on the boards of privately held companies Third Pole Therapeutics, CoreA Therapeutics. He also serves on the board of Boston Collegiate Charter School, a non-profit organization. Mr. Heiden holds an M.B.A. from Cornell University’s Johnson Graduate School of Management, a Master’s in International Management from the University of Louvain (Belgium) and a B.A. degree in finance from the University of Florida. The Board believes that Mr. Heiden’s 30 plus years of pharmaceutical industry experience leading organizations in both large pharmaceutical and emerging biotechnology companies, significant commercial expertise, and strong deal making experience qualify him to serve as a member of our Board.</w:t>
      </w:r>
    </w:p>
    <w:p>
      <w:pPr>
        <w:spacing w:after="0" w:line="19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Edward Hurwitz, age 62</w:t>
      </w:r>
    </w:p>
    <w:p>
      <w:pPr>
        <w:spacing w:after="0" w:line="22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Mr. Hurwitz has served as a director since October 2004. From 2017 to 2023 Mr. Hurwitz was a Managing Director of MPM Capital, a life sciences venture capital firm. Prior to joining MPM Capital, Mr. Hurwitz was the founding Managing Director of Precision Bioventures, LLC, a consulting and investment advisory firm. He was a director of Alta BioPharma III, L.P., and Alta Partners VIII, L.P., funds affiliated with Alta Partners, a venture capital firm, from 2002 through December 2014. Mr. Hurwitz also serves as a director of Dyne Therapeutics, a publicly held company. Mr. Hurwitz also served on the Board of Directors of Applied Genetic Technologies Corporation until its acquisition in 2022. Mr. Hurwitz received J.D. and M.B.A degrees from the University of California at Berkeley in 1990 and a B.A. in molecular biology from Cornell University in 1985. The Board believes that Mr. Hurwitz’s financial and scientific expertise, as well as his deep understanding of the biotechnology industry, makes him an important asset to our Board as it assesses both financial and strategic decisions.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Meenu Chhabra Karson, age 53</w:t>
      </w:r>
    </w:p>
    <w:p>
      <w:pPr>
        <w:spacing w:after="0" w:line="229" w:lineRule="exact"/>
        <w:rPr>
          <w:sz w:val="20"/>
          <w:szCs w:val="20"/>
          <w:color w:val="auto"/>
        </w:rPr>
      </w:pPr>
    </w:p>
    <w:p>
      <w:pPr>
        <w:ind w:right="80" w:firstLine="445"/>
        <w:spacing w:after="0" w:line="258" w:lineRule="auto"/>
        <w:rPr>
          <w:sz w:val="20"/>
          <w:szCs w:val="20"/>
          <w:color w:val="auto"/>
        </w:rPr>
      </w:pPr>
      <w:r>
        <w:rPr>
          <w:rFonts w:ascii="Times New Roman" w:cs="Times New Roman" w:eastAsia="Times New Roman" w:hAnsi="Times New Roman"/>
          <w:sz w:val="18"/>
          <w:szCs w:val="18"/>
          <w:color w:val="auto"/>
        </w:rPr>
        <w:t>Ms. Chhabra Karson has served as a director since January 2023. Ms. Chhabra Karson is currently the CEO of Evercrisp Biosciences, a privately held biotechnology company, a role she has held since September 2024. Ms. Chhabra Karson previously served as chair of the board of directors of Apexigen from July 2022 until Apexigen’s acquisition by Pyxis Oncology in August 2023. She previously served as President and Chief Executive Officer of Proteostasis Therapeutics from May 2014 until December 2020, From 2007 to 2014, Ms. Chhabra Karson was President and Chief Executive Officer at Allozyne, Inc. Prior to her time at Allozyne,</w:t>
      </w:r>
    </w:p>
    <w:p>
      <w:pPr>
        <w:sectPr>
          <w:pgSz w:w="11900" w:h="16838" w:orient="portrait"/>
          <w:cols w:equalWidth="0" w:num="1">
            <w:col w:w="11240"/>
          </w:cols>
          <w:pgMar w:left="320" w:top="985" w:right="339"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12" w:name="page13"/>
    <w:bookmarkEnd w:id="12"/>
    <w:p>
      <w:pPr>
        <w:ind w:right="140"/>
        <w:spacing w:after="0" w:line="261" w:lineRule="auto"/>
        <w:rPr>
          <w:sz w:val="20"/>
          <w:szCs w:val="20"/>
          <w:color w:val="auto"/>
        </w:rPr>
      </w:pPr>
      <w:r>
        <w:rPr>
          <w:rFonts w:ascii="Times New Roman" w:cs="Times New Roman" w:eastAsia="Times New Roman" w:hAnsi="Times New Roman"/>
          <w:sz w:val="18"/>
          <w:szCs w:val="18"/>
          <w:color w:val="auto"/>
        </w:rPr>
        <w:t>she served as the Chief Business Officer at BioXell SpA and has also held roles of increasing responsibility at Novartis, Warner-Lambert Company, LLC, and Bristol-Myers Squibb. Ms. Chhabra Karson obtained her M.B.A. from York University and her B.Sc. from the University of Toronto. The Board believes that Ms. Chhabra Karson’s more than 20 years of operational leadership in biopharmaceutical companies and financial expertise qualify her to serve as a member of our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I Director With Term Expiring at the 2026 Annual Meeting of Stockholders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Jay Siegel, M.D., age 73</w:t>
      </w:r>
    </w:p>
    <w:p>
      <w:pPr>
        <w:spacing w:after="0" w:line="229"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Dr. Siegel has served as a director since November 2017. He most recently served as Chief Biotechnology Officer and Head of Scientific Strategy and Policy at Johnson &amp; Johnson, which he joined in 2003, and on the Executive Committees and Boards of the Biotechnology Innovation Organization and the Alliance for Regenerative Medicine and previously at Johnson &amp; Johnson as Company Group President for Biotechnology, Immunology, and Oncology. Prior to joining Johnson &amp; Johnson, Dr. Siegel had a distinguished 20-year career at the Food and Drug Administration ("FDA") in positions of increasing responsibility, including directing the office responsible for reviewing and approving therapeutic biologics. He received a B.S. in Biology from the California Institute of Technology and an M.D. from Stanford University. He trained in internal medicine at the University of California, San Francisco, and in infectious diseases and immunology at Stanford University. In February 2026, Dr. Siegel informed the Board that he would not stand for re-election as a Class I director at the Company’s 2026 Annual Meeting of Stockholders. Dr. Siegel’s decision was for personal reasons and was not the result of any disagreement with the Company or any matter relating to the Company’s operations, policies or practices.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We have adopted a director compensation program for our non-employee directors. Our directors who are employees are compensated for their service as employees and do not receive any additional compensation for their service on our Board. Pursuant to the director compensation program, our non-employee directors received an annual retainer of $45,000, to be pro-rated if he or she is serving as a director for less than the full year. If our chair is a non-employee director, the chair receives an additional annual retainer of $35,000. In addition, all non-employee directors are eligible to receive the following committee fees: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Member Annual</w:t>
            </w:r>
          </w:p>
        </w:tc>
        <w:tc>
          <w:tcPr>
            <w:tcW w:w="19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Chair Additional</w:t>
            </w:r>
          </w:p>
        </w:tc>
        <w:tc>
          <w:tcPr>
            <w:tcW w:w="0" w:type="dxa"/>
            <w:vAlign w:val="bottom"/>
          </w:tcPr>
          <w:p>
            <w:pPr>
              <w:spacing w:after="0"/>
              <w:rPr>
                <w:sz w:val="1"/>
                <w:szCs w:val="1"/>
                <w:color w:val="auto"/>
              </w:rPr>
            </w:pPr>
          </w:p>
        </w:tc>
      </w:tr>
      <w:tr>
        <w:trPr>
          <w:trHeight w:val="184"/>
        </w:trPr>
        <w:tc>
          <w:tcPr>
            <w:tcW w:w="7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16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rPr>
              <w:t>Retainer</w:t>
            </w:r>
          </w:p>
        </w:tc>
        <w:tc>
          <w:tcPr>
            <w:tcW w:w="19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b w:val="1"/>
                <w:bCs w:val="1"/>
                <w:color w:val="auto"/>
              </w:rPr>
              <w:t>Annual Retainer</w:t>
            </w:r>
          </w:p>
        </w:tc>
        <w:tc>
          <w:tcPr>
            <w:tcW w:w="0" w:type="dxa"/>
            <w:vAlign w:val="bottom"/>
          </w:tcPr>
          <w:p>
            <w:pPr>
              <w:spacing w:after="0"/>
              <w:rPr>
                <w:sz w:val="1"/>
                <w:szCs w:val="1"/>
                <w:color w:val="auto"/>
              </w:rPr>
            </w:pPr>
          </w:p>
        </w:tc>
      </w:tr>
      <w:tr>
        <w:trPr>
          <w:trHeight w:val="234"/>
        </w:trPr>
        <w:tc>
          <w:tcPr>
            <w:tcW w:w="7140" w:type="dxa"/>
            <w:vAlign w:val="bottom"/>
            <w:gridSpan w:val="2"/>
            <w:vMerge w:val="continue"/>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w:t>
            </w:r>
          </w:p>
        </w:tc>
        <w:tc>
          <w:tcPr>
            <w:tcW w:w="200" w:type="dxa"/>
            <w:vAlign w:val="bottom"/>
          </w:tcPr>
          <w:p>
            <w:pPr>
              <w:spacing w:after="0"/>
              <w:rPr>
                <w:sz w:val="20"/>
                <w:szCs w:val="20"/>
                <w:color w:val="auto"/>
              </w:rPr>
            </w:pPr>
          </w:p>
        </w:tc>
        <w:tc>
          <w:tcPr>
            <w:tcW w:w="194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9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Audit Committee</w:t>
            </w:r>
          </w:p>
        </w:tc>
        <w:tc>
          <w:tcPr>
            <w:tcW w:w="20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0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30"/>
        </w:trPr>
        <w:tc>
          <w:tcPr>
            <w:tcW w:w="7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Human Capital Management Committee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7,500</w:t>
            </w:r>
          </w:p>
        </w:tc>
        <w:tc>
          <w:tcPr>
            <w:tcW w:w="200" w:type="dxa"/>
            <w:vAlign w:val="bottom"/>
          </w:tcPr>
          <w:p>
            <w:pPr>
              <w:spacing w:after="0"/>
              <w:rPr>
                <w:sz w:val="19"/>
                <w:szCs w:val="19"/>
                <w:color w:val="auto"/>
              </w:rPr>
            </w:pPr>
          </w:p>
        </w:tc>
        <w:tc>
          <w:tcPr>
            <w:tcW w:w="1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29"/>
        </w:trPr>
        <w:tc>
          <w:tcPr>
            <w:tcW w:w="7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5,000</w:t>
            </w:r>
          </w:p>
        </w:tc>
        <w:tc>
          <w:tcPr>
            <w:tcW w:w="200" w:type="dxa"/>
            <w:vAlign w:val="bottom"/>
            <w:shd w:val="clear" w:color="auto" w:fill="CCEEFF"/>
          </w:tcPr>
          <w:p>
            <w:pPr>
              <w:spacing w:after="0"/>
              <w:rPr>
                <w:sz w:val="19"/>
                <w:szCs w:val="19"/>
                <w:color w:val="auto"/>
              </w:rPr>
            </w:pPr>
          </w:p>
        </w:tc>
        <w:tc>
          <w:tcPr>
            <w:tcW w:w="194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34"/>
        </w:trPr>
        <w:tc>
          <w:tcPr>
            <w:tcW w:w="71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Science and Technology Committee</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10,000</w:t>
            </w:r>
          </w:p>
        </w:tc>
        <w:tc>
          <w:tcPr>
            <w:tcW w:w="200" w:type="dxa"/>
            <w:vAlign w:val="bottom"/>
          </w:tcPr>
          <w:p>
            <w:pPr>
              <w:spacing w:after="0"/>
              <w:rPr>
                <w:sz w:val="20"/>
                <w:szCs w:val="20"/>
                <w:color w:val="auto"/>
              </w:rPr>
            </w:pPr>
          </w:p>
        </w:tc>
        <w:tc>
          <w:tcPr>
            <w:tcW w:w="194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All of these annual fees are paid in quarterly installments in, at each director’s election, either cash or stock options based on the Black-Scholes value of the dollar amount of the retainer as of the date of grant. Directors are also reimbursed for their reasonable expenses incurred in connection with attendance at Board and committee meetings. Other than the annual retainers and committee fees paid pursuant to our director compensation program described above, non-employee directors are not entitled to receive any cash fees in connection with their service on our Board. Director compensation is reviewed regularly, generally on an annual basis, by the Human Capital Management Committee of our Board (the “Human Capital Management Committee”). In setting director compensation, including any modifications to the director compensation program, the Human Capital Management Committee considers several factors including the Company’s size and stage of development and market data of the Company’s peer group, as described below under "Executive Compensation Information" of this proxy statement. The Human Capital Management Committee also considers recommendations from its independent compensation consultant in making these determinations.</w:t>
      </w:r>
    </w:p>
    <w:p>
      <w:pPr>
        <w:spacing w:after="0" w:line="18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In addition, non-employee directors are entitled to receive an option to purchase shares of our common stock (the “Initial Option”) and a grant of restricted stock units (the "Initial RSU Grant") upon initial election or appointment to the Board. Non-employee directors are also entitled to receive an option to purchase shares of our common stock annually thereafter (the “Annual Option”) as well as an annual restricted stock unit grant (the "Annual RSU Grant"). As of May 2025, the number of shares of common stock available for the Initial Option and Annual Option were 44,000 and 22,000 shares, respectively, and the number of restricted stock units for the Initial RSU Grant and the Annual RSU Grant were 7,500 and 3,750, respectively.</w:t>
      </w:r>
    </w:p>
    <w:p>
      <w:pPr>
        <w:spacing w:after="0" w:line="183"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Options granted to non-employee directors have a per share exercise price equal to the per share fair market value of our common stock as of the date of grant. Such grants vest with respect to the Initial Option as to 1/36th of the shares of our common stock underlying such option monthly, and with respect to the Annual Option as to 1/12th of the shares of our common stock underlying such option monthly, beginning on the first monthly anniversary of the applicable grant date, subject to the director’s continued service on our Board through each vesting date. The Initial Option is granted on the date the director first joins the Board and the Annual Option is granted on the date of the first Board meeting held after each Annual Meeting of stockholders.</w:t>
      </w:r>
    </w:p>
    <w:p>
      <w:pPr>
        <w:spacing w:after="0" w:line="183"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Restricted stock units ("RSUs") granted to non-employee directors vest with respect to the Initial RSU Grant on an annual basis equally over three years, and the Annual RSU Grants vest after one year or the day prior to the next annual meeting, if earlier. Vesting for both the Initial RSU Grant and the Annual RSU Grant are subject to the director’s continued service on our Board through each vesting date. The Initial RSU Grant is granted upon initial election or appointment to the Board and the Annual RSU Grant is granted on the date of the first Board meeting held after each Annual Meeting of stockholders.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by our non-employee directors during the year ended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1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7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Option Awards ($)</w:t>
            </w:r>
          </w:p>
        </w:tc>
        <w:tc>
          <w:tcPr>
            <w:tcW w:w="142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43"/>
        </w:trPr>
        <w:tc>
          <w:tcPr>
            <w:tcW w:w="3200" w:type="dxa"/>
            <w:vAlign w:val="bottom"/>
            <w:vMerge w:val="continue"/>
          </w:tcPr>
          <w:p>
            <w:pPr>
              <w:spacing w:after="0"/>
              <w:rPr>
                <w:sz w:val="21"/>
                <w:szCs w:val="21"/>
                <w:color w:val="auto"/>
              </w:rPr>
            </w:pPr>
          </w:p>
        </w:tc>
        <w:tc>
          <w:tcPr>
            <w:tcW w:w="264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Paid in Cash ($)</w:t>
            </w:r>
          </w:p>
        </w:tc>
        <w:tc>
          <w:tcPr>
            <w:tcW w:w="14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 (1)</w:t>
            </w:r>
          </w:p>
        </w:tc>
        <w:tc>
          <w:tcPr>
            <w:tcW w:w="200" w:type="dxa"/>
            <w:vAlign w:val="bottom"/>
          </w:tcPr>
          <w:p>
            <w:pPr>
              <w:spacing w:after="0"/>
              <w:rPr>
                <w:sz w:val="21"/>
                <w:szCs w:val="21"/>
                <w:color w:val="auto"/>
              </w:rPr>
            </w:pPr>
          </w:p>
        </w:tc>
        <w:tc>
          <w:tcPr>
            <w:tcW w:w="156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1"/>
                <w:szCs w:val="21"/>
                <w:color w:val="auto"/>
              </w:rPr>
            </w:pPr>
          </w:p>
        </w:tc>
        <w:tc>
          <w:tcPr>
            <w:tcW w:w="1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Ferrante, M.D.</w:t>
            </w:r>
          </w:p>
        </w:tc>
        <w:tc>
          <w:tcPr>
            <w:tcW w:w="2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58,958</w:t>
            </w:r>
          </w:p>
        </w:tc>
        <w:tc>
          <w:tcPr>
            <w:tcW w:w="2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85,863</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Heiden (3)</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118,125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145,030</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Hurwitz</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85,863</w:t>
            </w:r>
          </w:p>
        </w:tc>
        <w:tc>
          <w:tcPr>
            <w:tcW w:w="0" w:type="dxa"/>
            <w:vAlign w:val="bottom"/>
          </w:tcPr>
          <w:p>
            <w:pPr>
              <w:spacing w:after="0"/>
              <w:rPr>
                <w:sz w:val="1"/>
                <w:szCs w:val="1"/>
                <w:color w:val="auto"/>
              </w:rPr>
            </w:pPr>
          </w:p>
        </w:tc>
      </w:tr>
      <w:tr>
        <w:trPr>
          <w:trHeight w:val="230"/>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Jackson</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81,905</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Meenu Chhabra Karson (4)</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69,005</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80,217</w:t>
            </w:r>
          </w:p>
        </w:tc>
        <w:tc>
          <w:tcPr>
            <w:tcW w:w="0" w:type="dxa"/>
            <w:vAlign w:val="bottom"/>
          </w:tcPr>
          <w:p>
            <w:pPr>
              <w:spacing w:after="0"/>
              <w:rPr>
                <w:sz w:val="1"/>
                <w:szCs w:val="1"/>
                <w:color w:val="auto"/>
              </w:rPr>
            </w:pPr>
          </w:p>
        </w:tc>
      </w:tr>
      <w:tr>
        <w:trPr>
          <w:trHeight w:val="446"/>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Koenig, M.D., Ph.D. (5)</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w:t>
            </w:r>
          </w:p>
        </w:tc>
        <w:tc>
          <w:tcPr>
            <w:tcW w:w="200" w:type="dxa"/>
            <w:vAlign w:val="bottom"/>
          </w:tcPr>
          <w:p>
            <w:pPr>
              <w:spacing w:after="0"/>
              <w:rPr>
                <w:sz w:val="24"/>
                <w:szCs w:val="24"/>
                <w:color w:val="auto"/>
              </w:rPr>
            </w:pPr>
          </w:p>
        </w:tc>
        <w:tc>
          <w:tcPr>
            <w:tcW w:w="1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w:t>
            </w:r>
          </w:p>
        </w:tc>
        <w:tc>
          <w:tcPr>
            <w:tcW w:w="0" w:type="dxa"/>
            <w:vAlign w:val="bottom"/>
          </w:tcPr>
          <w:p>
            <w:pPr>
              <w:spacing w:after="0"/>
              <w:rPr>
                <w:sz w:val="1"/>
                <w:szCs w:val="1"/>
                <w:color w:val="auto"/>
              </w:rPr>
            </w:pPr>
          </w:p>
        </w:tc>
      </w:tr>
      <w:tr>
        <w:trPr>
          <w:trHeight w:val="229"/>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Margaret Liu, M.D.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58,958</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85,863</w:t>
            </w:r>
          </w:p>
        </w:tc>
        <w:tc>
          <w:tcPr>
            <w:tcW w:w="0" w:type="dxa"/>
            <w:vAlign w:val="bottom"/>
          </w:tcPr>
          <w:p>
            <w:pPr>
              <w:spacing w:after="0"/>
              <w:rPr>
                <w:sz w:val="1"/>
                <w:szCs w:val="1"/>
                <w:color w:val="auto"/>
              </w:rPr>
            </w:pPr>
          </w:p>
        </w:tc>
      </w:tr>
      <w:tr>
        <w:trPr>
          <w:trHeight w:val="229"/>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Federica O'Brien (6)</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84,265</w:t>
            </w: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110,477</w:t>
            </w: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Jay Siegel, M.D.</w:t>
            </w:r>
          </w:p>
        </w:tc>
        <w:tc>
          <w:tcPr>
            <w:tcW w:w="2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79,375</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106,280</w:t>
            </w:r>
          </w:p>
        </w:tc>
        <w:tc>
          <w:tcPr>
            <w:tcW w:w="0" w:type="dxa"/>
            <w:vAlign w:val="bottom"/>
          </w:tcPr>
          <w:p>
            <w:pPr>
              <w:spacing w:after="0"/>
              <w:rPr>
                <w:sz w:val="1"/>
                <w:szCs w:val="1"/>
                <w:color w:val="auto"/>
              </w:rPr>
            </w:pPr>
          </w:p>
        </w:tc>
      </w:tr>
      <w:tr>
        <w:trPr>
          <w:trHeight w:val="234"/>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Stump, M.D.</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68,958</w:t>
            </w:r>
          </w:p>
        </w:tc>
        <w:tc>
          <w:tcPr>
            <w:tcW w:w="2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w:t>
            </w:r>
          </w:p>
        </w:tc>
        <w:tc>
          <w:tcPr>
            <w:tcW w:w="2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21,318</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95,863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820" w:right="200" w:hanging="326"/>
        <w:spacing w:after="0" w:line="261" w:lineRule="auto"/>
        <w:tabs>
          <w:tab w:leader="none" w:pos="8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 reflects the grant date fair value of stock-settled RSU awards made during 2025 computed in accordance with Financial Accounting Standards Board Accounting Standards Codification Topic 718, </w:t>
      </w:r>
      <w:r>
        <w:rPr>
          <w:rFonts w:ascii="Times New Roman" w:cs="Times New Roman" w:eastAsia="Times New Roman" w:hAnsi="Times New Roman"/>
          <w:sz w:val="18"/>
          <w:szCs w:val="18"/>
          <w:i w:val="1"/>
          <w:iCs w:val="1"/>
          <w:color w:val="auto"/>
        </w:rPr>
        <w:t>Stock Compensation</w:t>
      </w:r>
      <w:r>
        <w:rPr>
          <w:rFonts w:ascii="Times New Roman" w:cs="Times New Roman" w:eastAsia="Times New Roman" w:hAnsi="Times New Roman"/>
          <w:sz w:val="18"/>
          <w:szCs w:val="18"/>
          <w:color w:val="auto"/>
        </w:rPr>
        <w:t xml:space="preserve"> ("ASC 718"), as applied by analogy for non-employees. On May 21, 2025, each non-employee director was awarded 5,587 RSUs, with a grant date fair market value of $1.49 per share based on the closing price of our common stock on the award date.</w:t>
      </w:r>
    </w:p>
    <w:p>
      <w:pPr>
        <w:spacing w:after="0" w:line="71" w:lineRule="exact"/>
        <w:rPr>
          <w:rFonts w:ascii="Times New Roman" w:cs="Times New Roman" w:eastAsia="Times New Roman" w:hAnsi="Times New Roman"/>
          <w:sz w:val="18"/>
          <w:szCs w:val="18"/>
          <w:color w:val="auto"/>
        </w:rPr>
      </w:pPr>
    </w:p>
    <w:p>
      <w:pPr>
        <w:ind w:left="820" w:hanging="326"/>
        <w:spacing w:after="0" w:line="312" w:lineRule="auto"/>
        <w:tabs>
          <w:tab w:leader="none" w:pos="814"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reflects the aggregate grant date fair value of options granted during 2025 computed in accordance with ASC 718, The assumptions used in the valuation of these awards are set forth in Note 8 to our financial statements, which are included in our Annual Report on Form 10-K.</w:t>
      </w:r>
    </w:p>
    <w:p>
      <w:pPr>
        <w:spacing w:after="0" w:line="31" w:lineRule="exact"/>
        <w:rPr>
          <w:rFonts w:ascii="Times New Roman" w:cs="Times New Roman" w:eastAsia="Times New Roman" w:hAnsi="Times New Roman"/>
          <w:sz w:val="17"/>
          <w:szCs w:val="17"/>
          <w:color w:val="auto"/>
        </w:rPr>
      </w:pPr>
    </w:p>
    <w:p>
      <w:pPr>
        <w:ind w:left="820" w:hanging="326"/>
        <w:spacing w:after="0" w:line="258" w:lineRule="auto"/>
        <w:tabs>
          <w:tab w:leader="none" w:pos="8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Board directed Mr. Heiden to undertake certain additional responsibilities on behalf of the Board on an interim basis, which concluded in February 2026. Pursuant to these additional responsibilities, Mr. Heiden received an aggregate of $11,250 in additional compensation in 2025 which is reflected in the column titled "Fees Earned or Paid in Cash" of this table. The Board affirmatively determined that the performance of such responsibilities did not impact its assessment of Mr. Heiden’s independence under our Corporate Governance Guidelines or Rule 5605(a)(2) of the listing standards of the Nasdaq Stock Exchange ("Nasdaq").</w:t>
      </w:r>
    </w:p>
    <w:p>
      <w:pPr>
        <w:spacing w:after="0" w:line="75" w:lineRule="exact"/>
        <w:rPr>
          <w:rFonts w:ascii="Times New Roman" w:cs="Times New Roman" w:eastAsia="Times New Roman" w:hAnsi="Times New Roman"/>
          <w:sz w:val="18"/>
          <w:szCs w:val="18"/>
          <w:color w:val="auto"/>
        </w:rPr>
      </w:pPr>
    </w:p>
    <w:p>
      <w:pPr>
        <w:ind w:left="820" w:right="120" w:hanging="326"/>
        <w:spacing w:after="0" w:line="266" w:lineRule="auto"/>
        <w:tabs>
          <w:tab w:leader="none" w:pos="8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Karson elected to receive her 2025 fees in stock options in lieu of cash. Ms. Karson received 49,213 stock options with an aggregate grant date fair value of $62,500. In August 2025 Ms. Karson became chair of the Human Capital Management Committee, and as such earned additional cash compensation for the remainder of the year for this role.</w:t>
      </w:r>
    </w:p>
    <w:p>
      <w:pPr>
        <w:spacing w:after="0" w:line="67" w:lineRule="exact"/>
        <w:rPr>
          <w:rFonts w:ascii="Times New Roman" w:cs="Times New Roman" w:eastAsia="Times New Roman" w:hAnsi="Times New Roman"/>
          <w:sz w:val="18"/>
          <w:szCs w:val="18"/>
          <w:color w:val="auto"/>
        </w:rPr>
      </w:pPr>
    </w:p>
    <w:p>
      <w:pPr>
        <w:ind w:left="820" w:right="460" w:hanging="326"/>
        <w:spacing w:after="0" w:line="282" w:lineRule="auto"/>
        <w:tabs>
          <w:tab w:leader="none" w:pos="8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 became a non-employee director effective August 13, 2025. The fees earned or paid in cash shown were earned from that date through December 31, 2025.</w:t>
      </w:r>
    </w:p>
    <w:p>
      <w:pPr>
        <w:spacing w:after="0" w:line="53" w:lineRule="exact"/>
        <w:rPr>
          <w:rFonts w:ascii="Times New Roman" w:cs="Times New Roman" w:eastAsia="Times New Roman" w:hAnsi="Times New Roman"/>
          <w:sz w:val="18"/>
          <w:szCs w:val="18"/>
          <w:color w:val="auto"/>
        </w:rPr>
      </w:pPr>
    </w:p>
    <w:p>
      <w:pPr>
        <w:ind w:left="820" w:right="40" w:hanging="326"/>
        <w:spacing w:after="0" w:line="282" w:lineRule="auto"/>
        <w:tabs>
          <w:tab w:leader="none" w:pos="8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O'Brien elected to receive her 2025 fees in stock options in lieu of cash. Ms. O'Brien received 64,961 stock options with an aggregate grant date fair value of $82,500.</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5" w:name="page16"/>
    <w:bookmarkEnd w:id="15"/>
    <w:p>
      <w:pPr>
        <w:ind w:left="400"/>
        <w:spacing w:after="0"/>
        <w:rPr>
          <w:sz w:val="20"/>
          <w:szCs w:val="20"/>
          <w:color w:val="auto"/>
        </w:rPr>
      </w:pPr>
      <w:r>
        <w:rPr>
          <w:rFonts w:ascii="Times New Roman" w:cs="Times New Roman" w:eastAsia="Times New Roman" w:hAnsi="Times New Roman"/>
          <w:sz w:val="18"/>
          <w:szCs w:val="18"/>
          <w:color w:val="auto"/>
        </w:rPr>
        <w:t>As of December 31, 2025, each of our non-employee directors held the following outstanding equity awards: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Unvested Stock Awards (#)</w:t>
            </w:r>
          </w:p>
        </w:tc>
        <w:tc>
          <w:tcPr>
            <w:tcW w:w="2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Shares Subject to Outstanding</w:t>
            </w:r>
          </w:p>
        </w:tc>
        <w:tc>
          <w:tcPr>
            <w:tcW w:w="0" w:type="dxa"/>
            <w:vAlign w:val="bottom"/>
          </w:tcPr>
          <w:p>
            <w:pPr>
              <w:spacing w:after="0"/>
              <w:rPr>
                <w:sz w:val="1"/>
                <w:szCs w:val="1"/>
                <w:color w:val="auto"/>
              </w:rPr>
            </w:pPr>
          </w:p>
        </w:tc>
      </w:tr>
      <w:tr>
        <w:trPr>
          <w:trHeight w:val="243"/>
        </w:trPr>
        <w:tc>
          <w:tcPr>
            <w:tcW w:w="5100" w:type="dxa"/>
            <w:vAlign w:val="bottom"/>
            <w:gridSpan w:val="2"/>
            <w:vMerge w:val="continue"/>
          </w:tcPr>
          <w:p>
            <w:pPr>
              <w:spacing w:after="0"/>
              <w:rPr>
                <w:sz w:val="21"/>
                <w:szCs w:val="21"/>
                <w:color w:val="auto"/>
              </w:rPr>
            </w:pPr>
          </w:p>
        </w:tc>
        <w:tc>
          <w:tcPr>
            <w:tcW w:w="2620" w:type="dxa"/>
            <w:vAlign w:val="bottom"/>
            <w:gridSpan w:val="2"/>
            <w:vMerge w:val="continue"/>
          </w:tcPr>
          <w:p>
            <w:pPr>
              <w:spacing w:after="0"/>
              <w:rPr>
                <w:sz w:val="21"/>
                <w:szCs w:val="21"/>
                <w:color w:val="auto"/>
              </w:rPr>
            </w:pPr>
          </w:p>
        </w:tc>
        <w:tc>
          <w:tcPr>
            <w:tcW w:w="274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Options (#)</w:t>
            </w: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Ferrante, M.D.</w:t>
            </w:r>
          </w:p>
        </w:tc>
        <w:tc>
          <w:tcPr>
            <w:tcW w:w="220" w:type="dxa"/>
            <w:vAlign w:val="bottom"/>
            <w:tcBorders>
              <w:top w:val="single" w:sz="8" w:color="CCEEFF"/>
            </w:tcBorders>
            <w:shd w:val="clear" w:color="auto" w:fill="CCEEFF"/>
          </w:tcPr>
          <w:p>
            <w:pPr>
              <w:spacing w:after="0"/>
              <w:rPr>
                <w:sz w:val="19"/>
                <w:szCs w:val="19"/>
                <w:color w:val="auto"/>
              </w:rPr>
            </w:pPr>
          </w:p>
        </w:tc>
        <w:tc>
          <w:tcPr>
            <w:tcW w:w="2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tcBorders>
              <w:top w:val="single" w:sz="8" w:color="CCEEFF"/>
            </w:tcBorders>
            <w:shd w:val="clear" w:color="auto" w:fill="CCEEFF"/>
          </w:tcPr>
          <w:p>
            <w:pPr>
              <w:spacing w:after="0"/>
              <w:rPr>
                <w:sz w:val="19"/>
                <w:szCs w:val="19"/>
                <w:color w:val="auto"/>
              </w:rPr>
            </w:pPr>
          </w:p>
        </w:tc>
        <w:tc>
          <w:tcPr>
            <w:tcW w:w="2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180,756</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 Heiden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Edward Hurwitz</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0" w:type="dxa"/>
            <w:vAlign w:val="bottom"/>
          </w:tcPr>
          <w:p>
            <w:pPr>
              <w:spacing w:after="0"/>
              <w:rPr>
                <w:sz w:val="1"/>
                <w:szCs w:val="1"/>
                <w:color w:val="auto"/>
              </w:rPr>
            </w:pPr>
          </w:p>
        </w:tc>
      </w:tr>
      <w:tr>
        <w:trPr>
          <w:trHeight w:val="230"/>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Jackson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155,500</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Meenu Chhabra Karson</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174,967</w:t>
            </w:r>
          </w:p>
        </w:tc>
        <w:tc>
          <w:tcPr>
            <w:tcW w:w="0" w:type="dxa"/>
            <w:vAlign w:val="bottom"/>
          </w:tcPr>
          <w:p>
            <w:pPr>
              <w:spacing w:after="0"/>
              <w:rPr>
                <w:sz w:val="1"/>
                <w:szCs w:val="1"/>
                <w:color w:val="auto"/>
              </w:rPr>
            </w:pPr>
          </w:p>
        </w:tc>
      </w:tr>
      <w:tr>
        <w:trPr>
          <w:trHeight w:val="446"/>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Koenig, M.D., Ph.D. (1)</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52,828</w:t>
            </w:r>
          </w:p>
        </w:tc>
        <w:tc>
          <w:tcPr>
            <w:tcW w:w="2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2,493,000</w:t>
            </w:r>
          </w:p>
        </w:tc>
        <w:tc>
          <w:tcPr>
            <w:tcW w:w="0" w:type="dxa"/>
            <w:vAlign w:val="bottom"/>
          </w:tcPr>
          <w:p>
            <w:pPr>
              <w:spacing w:after="0"/>
              <w:rPr>
                <w:sz w:val="1"/>
                <w:szCs w:val="1"/>
                <w:color w:val="auto"/>
              </w:rPr>
            </w:pPr>
          </w:p>
        </w:tc>
      </w:tr>
      <w:tr>
        <w:trPr>
          <w:trHeight w:val="229"/>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Margaret Liu, M.D.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93,500</w:t>
            </w:r>
          </w:p>
        </w:tc>
        <w:tc>
          <w:tcPr>
            <w:tcW w:w="0" w:type="dxa"/>
            <w:vAlign w:val="bottom"/>
          </w:tcPr>
          <w:p>
            <w:pPr>
              <w:spacing w:after="0"/>
              <w:rPr>
                <w:sz w:val="1"/>
                <w:szCs w:val="1"/>
                <w:color w:val="auto"/>
              </w:rPr>
            </w:pPr>
          </w:p>
        </w:tc>
      </w:tr>
      <w:tr>
        <w:trPr>
          <w:trHeight w:val="229"/>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Federica O'Brien</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tcPr>
          <w:p>
            <w:pPr>
              <w:spacing w:after="0"/>
              <w:rPr>
                <w:sz w:val="19"/>
                <w:szCs w:val="19"/>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209,541</w:t>
            </w:r>
          </w:p>
        </w:tc>
        <w:tc>
          <w:tcPr>
            <w:tcW w:w="0" w:type="dxa"/>
            <w:vAlign w:val="bottom"/>
          </w:tcPr>
          <w:p>
            <w:pPr>
              <w:spacing w:after="0"/>
              <w:rPr>
                <w:sz w:val="1"/>
                <w:szCs w:val="1"/>
                <w:color w:val="auto"/>
              </w:rPr>
            </w:pPr>
          </w:p>
        </w:tc>
      </w:tr>
      <w:tr>
        <w:trPr>
          <w:trHeight w:val="230"/>
        </w:trPr>
        <w:tc>
          <w:tcPr>
            <w:tcW w:w="5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Jay Siegel, M.D.</w:t>
            </w:r>
          </w:p>
        </w:tc>
        <w:tc>
          <w:tcPr>
            <w:tcW w:w="2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shd w:val="clear" w:color="auto" w:fill="CCEEFF"/>
          </w:tcPr>
          <w:p>
            <w:pPr>
              <w:spacing w:after="0"/>
              <w:rPr>
                <w:sz w:val="19"/>
                <w:szCs w:val="19"/>
                <w:color w:val="auto"/>
              </w:rPr>
            </w:pP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190,275</w:t>
            </w:r>
          </w:p>
        </w:tc>
        <w:tc>
          <w:tcPr>
            <w:tcW w:w="0" w:type="dxa"/>
            <w:vAlign w:val="bottom"/>
          </w:tcPr>
          <w:p>
            <w:pPr>
              <w:spacing w:after="0"/>
              <w:rPr>
                <w:sz w:val="1"/>
                <w:szCs w:val="1"/>
                <w:color w:val="auto"/>
              </w:rPr>
            </w:pPr>
          </w:p>
        </w:tc>
      </w:tr>
      <w:tr>
        <w:trPr>
          <w:trHeight w:val="234"/>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Stump, M.D.</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240" w:type="dxa"/>
            <w:vAlign w:val="bottom"/>
          </w:tcPr>
          <w:p>
            <w:pPr>
              <w:spacing w:after="0"/>
              <w:rPr>
                <w:sz w:val="20"/>
                <w:szCs w:val="20"/>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w:t>
            </w:r>
          </w:p>
        </w:tc>
        <w:tc>
          <w:tcPr>
            <w:tcW w:w="0" w:type="dxa"/>
            <w:vAlign w:val="bottom"/>
          </w:tcPr>
          <w:p>
            <w:pPr>
              <w:spacing w:after="0"/>
              <w:rPr>
                <w:sz w:val="1"/>
                <w:szCs w:val="1"/>
                <w:color w:val="auto"/>
              </w:rPr>
            </w:pPr>
          </w:p>
        </w:tc>
      </w:tr>
    </w:tbl>
    <w:p>
      <w:pPr>
        <w:spacing w:after="0" w:line="328" w:lineRule="exact"/>
        <w:rPr>
          <w:sz w:val="20"/>
          <w:szCs w:val="20"/>
          <w:color w:val="auto"/>
        </w:rPr>
      </w:pPr>
    </w:p>
    <w:p>
      <w:pPr>
        <w:ind w:left="440" w:hanging="6"/>
        <w:spacing w:after="0" w:line="282" w:lineRule="auto"/>
        <w:tabs>
          <w:tab w:leader="none" w:pos="6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 became a non-employee director effective August 13, 2025. The unvested awards and outstanding options shown were granted during his tenure as President and Chief Executive Officer of the Company.</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80" w:top="985"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PROPOSAL NO. 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175" w:lineRule="exact"/>
        <w:rPr>
          <w:sz w:val="20"/>
          <w:szCs w:val="20"/>
          <w:color w:val="auto"/>
        </w:rPr>
      </w:pPr>
    </w:p>
    <w:p>
      <w:pPr>
        <w:ind w:right="480" w:firstLine="445"/>
        <w:spacing w:after="0" w:line="261" w:lineRule="auto"/>
        <w:rPr>
          <w:sz w:val="20"/>
          <w:szCs w:val="20"/>
          <w:color w:val="auto"/>
        </w:rPr>
      </w:pPr>
      <w:r>
        <w:rPr>
          <w:rFonts w:ascii="Times New Roman" w:cs="Times New Roman" w:eastAsia="Times New Roman" w:hAnsi="Times New Roman"/>
          <w:sz w:val="18"/>
          <w:szCs w:val="18"/>
          <w:color w:val="auto"/>
        </w:rPr>
        <w:t>Ernst &amp; Young LLP ("Ernst &amp; Young") currently serves as our independent registered public accounting firm. After consideration of the firm’s qualifications and past performance, the Audit Committee of our Board of Directors (“the Audit Committee”) has appointed Ernst &amp; Young as our independent registered public accounting firm for the fiscal year ending December 31, 2026. Ernst &amp; Young has served as our independent registered public accounting firm since 2006.</w:t>
      </w:r>
    </w:p>
    <w:p>
      <w:pPr>
        <w:spacing w:after="0" w:line="126"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accordance with the rules of the SEC and our Audit Committee’s charter, the Audit Committee is directly responsible for the selection, appointment, compensation, retention and oversight of the Company’s independent registered public accounting firm and is not required to submit this appointment to a vote of the stockholders. The Board, however, considers the appointment of the independent registered public accounting firm to be an important matter of stockholder concern and is submitting the appointment of Ernst &amp; Young for ratification by our stockholders as a matter of good corporate practice. One or more representatives of Ernst &amp; Young is expected to be present at the Annual Meeting and will have an opportunity to make a statement and respond to appropriate questions from stockholders. In the event that our stockholders fail to ratify the appointment of Ernst &amp; Young, it will be considered as a direction to the Audit Committee to consider the appointment of a different firm. Even if the appointment is ratified, the Audit Committee in its discretion may select a different independent registered public accounting firm at any time during the year if it determines that such a change would be in the best interests of the Company and its stockholders.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Recommendation</w:t>
      </w:r>
    </w:p>
    <w:p>
      <w:pPr>
        <w:spacing w:after="0" w:line="175"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Ernst &amp; Young as the Company’s independent registered public accounting firm requires the affirmative vote of a majority of the votes cast on the matter. Abstentions are not considered votes cast and, therefore, will have no effect on the voting outcome.</w:t>
      </w:r>
    </w:p>
    <w:p>
      <w:pPr>
        <w:spacing w:after="0" w:line="104"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a vote “FOR” the ratification of the appointment of Ernst &amp; Young as our independent registered public accounting firm for the fiscal year ending December 31, 2026.</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Accountant Fees and Services</w:t>
      </w:r>
    </w:p>
    <w:p>
      <w:pPr>
        <w:spacing w:after="0" w:line="175" w:lineRule="exact"/>
        <w:rPr>
          <w:sz w:val="20"/>
          <w:szCs w:val="20"/>
          <w:color w:val="auto"/>
        </w:rPr>
      </w:pPr>
    </w:p>
    <w:p>
      <w:pPr>
        <w:ind w:right="300" w:firstLine="445"/>
        <w:spacing w:after="0" w:line="271" w:lineRule="auto"/>
        <w:rPr>
          <w:sz w:val="20"/>
          <w:szCs w:val="20"/>
          <w:color w:val="auto"/>
        </w:rPr>
      </w:pPr>
      <w:r>
        <w:rPr>
          <w:rFonts w:ascii="Times New Roman" w:cs="Times New Roman" w:eastAsia="Times New Roman" w:hAnsi="Times New Roman"/>
          <w:sz w:val="18"/>
          <w:szCs w:val="18"/>
          <w:color w:val="auto"/>
        </w:rPr>
        <w:t>The following table provides information regarding the fees paid to Ernst &amp; Young during the years ended December 31, 2025 and 2024. All fees described below were approved by the Audit Committee.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1200" w:type="dxa"/>
            <w:vAlign w:val="bottom"/>
            <w:tcBorders>
              <w:bottom w:val="single" w:sz="8" w:color="auto"/>
            </w:tcBorders>
          </w:tcPr>
          <w:p>
            <w:pPr>
              <w:spacing w:after="0"/>
              <w:rPr>
                <w:sz w:val="20"/>
                <w:szCs w:val="20"/>
                <w:color w:val="auto"/>
              </w:rPr>
            </w:pPr>
          </w:p>
        </w:tc>
      </w:tr>
      <w:tr>
        <w:trPr>
          <w:trHeight w:val="223"/>
        </w:trPr>
        <w:tc>
          <w:tcPr>
            <w:tcW w:w="68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40" w:type="dxa"/>
            <w:vAlign w:val="bottom"/>
            <w:tcBorders>
              <w:bottom w:val="single" w:sz="8" w:color="auto"/>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Audit Fees (1)</w:t>
            </w:r>
          </w:p>
        </w:tc>
        <w:tc>
          <w:tcPr>
            <w:tcW w:w="122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1,769,780</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1,929,500</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 (2)</w:t>
            </w:r>
          </w:p>
        </w:tc>
        <w:tc>
          <w:tcPr>
            <w:tcW w:w="1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610,000</w:t>
            </w: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38,000</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Fees (3)</w:t>
            </w:r>
          </w:p>
        </w:tc>
        <w:tc>
          <w:tcPr>
            <w:tcW w:w="1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212,717</w:t>
            </w:r>
          </w:p>
        </w:tc>
        <w:tc>
          <w:tcPr>
            <w:tcW w:w="3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201,935</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All Other Fees (4)</w:t>
            </w:r>
          </w:p>
        </w:tc>
        <w:tc>
          <w:tcPr>
            <w:tcW w:w="1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34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122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2,594,617</w:t>
            </w:r>
          </w:p>
        </w:tc>
        <w:tc>
          <w:tcPr>
            <w:tcW w:w="3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2,171,555</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500" w:right="400" w:hanging="492"/>
        <w:spacing w:after="0" w:line="266" w:lineRule="auto"/>
        <w:tabs>
          <w:tab w:leader="none" w:pos="39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include amounts billed for the audits of our financial statements, attestation services with respect to our internal control over financial reporting, reviews of quarterly financial statements, registration statement filings and consents, comfort letters and consultations concerning financial accounting in connection with the audits.</w:t>
      </w:r>
    </w:p>
    <w:p>
      <w:pPr>
        <w:spacing w:after="0" w:line="1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Audit-Related Fees consisted principally of services related to corporate development activities and special purpose financial statement audits.</w:t>
      </w:r>
    </w:p>
    <w:p>
      <w:pPr>
        <w:spacing w:after="0" w:line="6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for 2025 and 2024 consisted entirely of fees for tax compliance, including the preparation, review and filing of tax returns.</w:t>
      </w:r>
    </w:p>
    <w:p>
      <w:pPr>
        <w:spacing w:after="0" w:line="6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consisted of subscription fees for Ernst &amp; Young’s online accounting research tool.</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89" w:lineRule="exact"/>
        <w:rPr>
          <w:sz w:val="20"/>
          <w:szCs w:val="20"/>
          <w:color w:val="auto"/>
        </w:rPr>
      </w:pPr>
    </w:p>
    <w:p>
      <w:pPr>
        <w:ind w:right="120" w:firstLine="445"/>
        <w:spacing w:after="0" w:line="282" w:lineRule="auto"/>
        <w:rPr>
          <w:sz w:val="20"/>
          <w:szCs w:val="20"/>
          <w:color w:val="auto"/>
        </w:rPr>
      </w:pPr>
      <w:r>
        <w:rPr>
          <w:rFonts w:ascii="Times New Roman" w:cs="Times New Roman" w:eastAsia="Times New Roman" w:hAnsi="Times New Roman"/>
          <w:sz w:val="18"/>
          <w:szCs w:val="18"/>
          <w:color w:val="auto"/>
        </w:rPr>
        <w:t>The Audit Committee pre-approves all audit and non-audit services provided by its independent registered public accounting firm. This policy is set forth in the charter of the Audit Committee and available on the Corporate Governance section of our website at http://ir.macrogenics.com/governance.</w:t>
      </w:r>
    </w:p>
    <w:p>
      <w:pPr>
        <w:spacing w:after="0" w:line="108" w:lineRule="exact"/>
        <w:rPr>
          <w:sz w:val="20"/>
          <w:szCs w:val="20"/>
          <w:color w:val="auto"/>
        </w:rPr>
      </w:pPr>
    </w:p>
    <w:p>
      <w:pPr>
        <w:ind w:right="220" w:firstLine="445"/>
        <w:spacing w:after="0" w:line="266" w:lineRule="auto"/>
        <w:rPr>
          <w:sz w:val="20"/>
          <w:szCs w:val="20"/>
          <w:color w:val="auto"/>
        </w:rPr>
      </w:pPr>
      <w:r>
        <w:rPr>
          <w:rFonts w:ascii="Times New Roman" w:cs="Times New Roman" w:eastAsia="Times New Roman" w:hAnsi="Times New Roman"/>
          <w:sz w:val="18"/>
          <w:szCs w:val="18"/>
          <w:color w:val="auto"/>
        </w:rPr>
        <w:t>The Audit Committee pre-approved all audit, audit-related, tax and other services provided by Ernst &amp; Young for 2025 and 2024 and the estimated costs of those services. Actual amounts billed, to the extent in excess of the estimated amounts, were periodically reviewed and approved by the Audit Committee.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7" w:lineRule="exact"/>
        <w:rPr>
          <w:sz w:val="20"/>
          <w:szCs w:val="20"/>
          <w:color w:val="auto"/>
        </w:rPr>
      </w:pPr>
    </w:p>
    <w:p>
      <w:pPr>
        <w:jc w:val="both"/>
        <w:ind w:right="220"/>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is not to be incorporated by reference into any filing by MacroGenics under the Securities Act of 1933, as amended (the “Securities Act”), or the Securities Exchange Act of 1934, as amended (the “Exchange Act”).</w:t>
      </w:r>
    </w:p>
    <w:p>
      <w:pPr>
        <w:spacing w:after="0" w:line="175"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primary purpose of the Audit Committee is to oversee the Company’s financial reporting processes on behalf of the Board. The Audit Committee’s functions are more fully described in its charter, which is available on the Corporate Governance section of the Company’s website. Management has the primary responsibility for the Company’s financial statements and reporting processes, including the Company’s systems of internal controls. In fulfilling its oversight responsibilities, the Audit Committee reviewed and discussed with management MacroGenics’ audited financial statements and the effectiveness of the Company’s internal controls over financial reporting as of and for the year ended December 31, 2025.</w:t>
      </w:r>
    </w:p>
    <w:p>
      <w:pPr>
        <w:spacing w:after="0" w:line="183" w:lineRule="exact"/>
        <w:rPr>
          <w:sz w:val="20"/>
          <w:szCs w:val="20"/>
          <w:color w:val="auto"/>
        </w:rPr>
      </w:pPr>
    </w:p>
    <w:p>
      <w:pPr>
        <w:ind w:firstLine="445"/>
        <w:spacing w:after="0" w:line="258" w:lineRule="auto"/>
        <w:rPr>
          <w:sz w:val="20"/>
          <w:szCs w:val="20"/>
          <w:color w:val="auto"/>
        </w:rPr>
      </w:pPr>
      <w:r>
        <w:rPr>
          <w:rFonts w:ascii="Times New Roman" w:cs="Times New Roman" w:eastAsia="Times New Roman" w:hAnsi="Times New Roman"/>
          <w:sz w:val="18"/>
          <w:szCs w:val="18"/>
          <w:color w:val="auto"/>
        </w:rPr>
        <w:t>The Audit Committee has discussed with Ernst &amp; Young LLP, the Company’s independent registered public accounting firm, the matters required to be discussed under generally accepted auditing standards including Auditing Standard No. 1301. In addition, the Audit Committee discussed with Ernst &amp; Young LLP its independence, and received from Ernst &amp; Young LLP the written disclosures and the letter required by Ethics and Independence Rule 3526 of the Public Company Accounting Oversight Board. Finally, the Audit Committee discussed with Ernst &amp; Young LLP, with and without management present, the scope and results of Ernst &amp; Young LLP’s audit of such financial statements.</w:t>
      </w:r>
    </w:p>
    <w:p>
      <w:pPr>
        <w:spacing w:after="0" w:line="183" w:lineRule="exact"/>
        <w:rPr>
          <w:sz w:val="20"/>
          <w:szCs w:val="20"/>
          <w:color w:val="auto"/>
        </w:rPr>
      </w:pPr>
    </w:p>
    <w:p>
      <w:pPr>
        <w:ind w:right="160" w:firstLine="445"/>
        <w:spacing w:after="0" w:line="282"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that such audited financial statements be included in the Company’s Annual Report on Form 10-K for the year ended December 31, 2025, for filing with the SEC.</w:t>
      </w:r>
    </w:p>
    <w:p>
      <w:pPr>
        <w:spacing w:after="0" w:line="200" w:lineRule="exact"/>
        <w:rPr>
          <w:sz w:val="20"/>
          <w:szCs w:val="20"/>
          <w:color w:val="auto"/>
        </w:rPr>
      </w:pPr>
    </w:p>
    <w:p>
      <w:pPr>
        <w:spacing w:after="0" w:line="2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Federica O'Brien, Chair</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William Heiden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Scott Jackson</w:t>
      </w:r>
    </w:p>
    <w:p>
      <w:pPr>
        <w:spacing w:after="0" w:line="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Meenu Chhabra Karson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5" w:right="4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NO. 3</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29" w:lineRule="exact"/>
        <w:rPr>
          <w:sz w:val="20"/>
          <w:szCs w:val="20"/>
          <w:color w:val="auto"/>
        </w:rPr>
      </w:pPr>
    </w:p>
    <w:p>
      <w:pPr>
        <w:ind w:right="120" w:firstLine="445"/>
        <w:spacing w:after="0" w:line="266" w:lineRule="auto"/>
        <w:rPr>
          <w:sz w:val="20"/>
          <w:szCs w:val="20"/>
          <w:color w:val="auto"/>
        </w:rPr>
      </w:pPr>
      <w:r>
        <w:rPr>
          <w:rFonts w:ascii="Times New Roman" w:cs="Times New Roman" w:eastAsia="Times New Roman" w:hAnsi="Times New Roman"/>
          <w:sz w:val="18"/>
          <w:szCs w:val="18"/>
          <w:color w:val="auto"/>
        </w:rPr>
        <w:t>In 2022, stockholders voted, on an advisory basis, to hold an annual advisory vote on the compensation of our named executive officers. Pursuant to that guidance and consistent with Section 14A of the Exchange Act, our Board is asking stockholders to approve an advisory vote on the following resolution:</w:t>
      </w:r>
    </w:p>
    <w:p>
      <w:pPr>
        <w:spacing w:after="0" w:line="172" w:lineRule="exact"/>
        <w:rPr>
          <w:sz w:val="20"/>
          <w:szCs w:val="20"/>
          <w:color w:val="auto"/>
        </w:rPr>
      </w:pPr>
    </w:p>
    <w:p>
      <w:pPr>
        <w:ind w:left="460" w:right="200"/>
        <w:spacing w:after="0" w:line="268"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compensation paid to MacroGenics’ named executive officers, as disclosed pursuant to the compensation disclosure rules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and Exchange Commission, including the executive compensation information, the compensation tables and any related material disclosed in this proxy statement, is hereby approved.</w:t>
      </w:r>
    </w:p>
    <w:p>
      <w:pPr>
        <w:spacing w:after="0" w:line="17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an advisory vote, this proposal is not binding. Although the vote is non-binding, our Human Capital Management Committee and Board value the opinions expressed by our stockholders in their vote on this proposal and will consider the outcome of the vote when making future compensation decisions for our named executive officers.</w:t>
      </w:r>
    </w:p>
    <w:p>
      <w:pPr>
        <w:spacing w:after="0" w:line="176"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Our executive compensation programs are designed to attract, motivate, and retain executive officers who are critical to our success. Under these programs, our named executive officers are rewarded for the achievement of our near-term and longer-term financial and strategic goals and for driving corporate financial performance and stability. The programs contain elements of cash and equity-based compensation and are designed to align the interests of our executives with those of our stockholders.</w:t>
      </w:r>
    </w:p>
    <w:p>
      <w:pPr>
        <w:spacing w:after="0" w:line="180" w:lineRule="exact"/>
        <w:rPr>
          <w:sz w:val="20"/>
          <w:szCs w:val="20"/>
          <w:color w:val="auto"/>
        </w:rPr>
      </w:pPr>
    </w:p>
    <w:p>
      <w:pPr>
        <w:ind w:right="240" w:firstLine="445"/>
        <w:spacing w:after="0" w:line="266" w:lineRule="auto"/>
        <w:rPr>
          <w:sz w:val="20"/>
          <w:szCs w:val="20"/>
          <w:color w:val="auto"/>
        </w:rPr>
      </w:pPr>
      <w:r>
        <w:rPr>
          <w:rFonts w:ascii="Times New Roman" w:cs="Times New Roman" w:eastAsia="Times New Roman" w:hAnsi="Times New Roman"/>
          <w:sz w:val="18"/>
          <w:szCs w:val="18"/>
          <w:color w:val="auto"/>
        </w:rPr>
        <w:t>The “Executive Compensation Information" section of this proxy statement beginning on page 32 describes our executive compensation programs and the decisions made by the Human Capital Management Committee with respect to 2025 executive compensation. Highlights of our executive compensation philosophy include the following:</w:t>
      </w:r>
    </w:p>
    <w:p>
      <w:pPr>
        <w:spacing w:after="0" w:line="68" w:lineRule="exact"/>
        <w:rPr>
          <w:sz w:val="20"/>
          <w:szCs w:val="20"/>
          <w:color w:val="auto"/>
        </w:rPr>
      </w:pPr>
    </w:p>
    <w:p>
      <w:pPr>
        <w:ind w:left="900" w:right="80" w:hanging="325"/>
        <w:spacing w:after="0" w:line="282" w:lineRule="auto"/>
        <w:tabs>
          <w:tab w:leader="none" w:pos="80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each senior executive’s compensation should be variable, with the target bonus based on a combination of individual and corporate performance;</w:t>
      </w:r>
    </w:p>
    <w:p>
      <w:pPr>
        <w:spacing w:after="0" w:line="53" w:lineRule="exact"/>
        <w:rPr>
          <w:rFonts w:ascii="Times New Roman" w:cs="Times New Roman" w:eastAsia="Times New Roman" w:hAnsi="Times New Roman"/>
          <w:sz w:val="18"/>
          <w:szCs w:val="18"/>
          <w:color w:val="auto"/>
        </w:rPr>
      </w:pPr>
    </w:p>
    <w:p>
      <w:pPr>
        <w:ind w:left="900" w:right="340" w:hanging="325"/>
        <w:spacing w:after="0" w:line="282" w:lineRule="auto"/>
        <w:tabs>
          <w:tab w:leader="none" w:pos="81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opportunities should be competitive with clinical-stage biopharmaceutical companies of similar size and comparable stage of development, but also should be designed to be flexible enough to attract talent from other biopharmaceutical companies as needed;</w:t>
      </w:r>
    </w:p>
    <w:p>
      <w:pPr>
        <w:spacing w:after="0" w:line="5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program should align executive interests with those of stockholders; and</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benefits and perquisites should be limited and used selectively, if at all, in specific circumstances to attract and retain executives.</w:t>
      </w:r>
    </w:p>
    <w:p>
      <w:pPr>
        <w:spacing w:after="0" w:line="225"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As we describe in the “Executive Compensation Information” section of this proxy statement, our executive compensation program embodies a pay-for-performance philosophy that we believe supports our business strategy and aligns the interests of our executives with those of our stockholders. The Board believes this link between compensation and the achievement of our near- and long-term business goals helps drive Company performance over time. At the same time, we believe our program does not encourage excessive risk-taking by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229"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Approval of the advisory vote on the compensation of our named executive officers requires the affirmative vote of a majority of the votes cast on the proposal. Abstentions are not considered votes cast and, therefore, will have no effect on the vote outcome. Broker non-votes will have no effect on the vote.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approval of the advisory vote on the compensation of our named executive officers.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 w:name="page20"/>
    <w:bookmarkEnd w:id="19"/>
    <w:p>
      <w:pPr>
        <w:jc w:val="center"/>
        <w:ind w:left="640"/>
        <w:spacing w:after="0"/>
        <w:rPr>
          <w:sz w:val="20"/>
          <w:szCs w:val="20"/>
          <w:color w:val="auto"/>
        </w:rPr>
      </w:pPr>
      <w:r>
        <w:rPr>
          <w:rFonts w:ascii="Times New Roman" w:cs="Times New Roman" w:eastAsia="Times New Roman" w:hAnsi="Times New Roman"/>
          <w:sz w:val="18"/>
          <w:szCs w:val="18"/>
          <w:b w:val="1"/>
          <w:bCs w:val="1"/>
          <w:color w:val="auto"/>
        </w:rPr>
        <w:t>PROPOSAL NO. 4</w:t>
      </w:r>
    </w:p>
    <w:p>
      <w:pPr>
        <w:spacing w:after="0" w:line="117" w:lineRule="exact"/>
        <w:rPr>
          <w:sz w:val="20"/>
          <w:szCs w:val="20"/>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APPROVAL OF THE AMENDMENT TO THE MACROGENICS, INC. 2023 EQUITY INCENTIVE PLAN</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On April 3, 2023, our Board adopted the 2023 Equity Incentive Plan (“2023 Plan”), which was approved by our stockholders at the annual meeting of stockholders held on May 31, 2023. The 2023 Plan has been amended at each subsequent annual meeting of stockholders to increase the number of shares available for issuance, and as currently in effect, authorizes the issuance of up to an aggregate of 8,100,000 shares.</w:t>
      </w:r>
    </w:p>
    <w:p>
      <w:pPr>
        <w:spacing w:after="0" w:line="122" w:lineRule="exact"/>
        <w:rPr>
          <w:sz w:val="20"/>
          <w:szCs w:val="20"/>
          <w:color w:val="auto"/>
        </w:rPr>
      </w:pPr>
    </w:p>
    <w:p>
      <w:pPr>
        <w:ind w:right="460" w:firstLine="405"/>
        <w:spacing w:after="0" w:line="282" w:lineRule="auto"/>
        <w:rPr>
          <w:sz w:val="20"/>
          <w:szCs w:val="20"/>
          <w:color w:val="auto"/>
        </w:rPr>
      </w:pPr>
      <w:r>
        <w:rPr>
          <w:rFonts w:ascii="Times New Roman" w:cs="Times New Roman" w:eastAsia="Times New Roman" w:hAnsi="Times New Roman"/>
          <w:sz w:val="18"/>
          <w:szCs w:val="18"/>
          <w:color w:val="auto"/>
        </w:rPr>
        <w:t>On February 25, 2026, the Board adopted and approved a further amendment to the 2023 Plan to increase the total number of shares that can be issued under the 2023 Plan by 1,250,000, subject to stockholder approval of the amendment.</w:t>
      </w:r>
    </w:p>
    <w:p>
      <w:pPr>
        <w:spacing w:after="0" w:line="148" w:lineRule="exact"/>
        <w:rPr>
          <w:sz w:val="20"/>
          <w:szCs w:val="20"/>
          <w:color w:val="auto"/>
        </w:rPr>
      </w:pPr>
    </w:p>
    <w:p>
      <w:pPr>
        <w:ind w:right="300" w:firstLine="405"/>
        <w:spacing w:after="0" w:line="266" w:lineRule="auto"/>
        <w:rPr>
          <w:sz w:val="20"/>
          <w:szCs w:val="20"/>
          <w:color w:val="auto"/>
        </w:rPr>
      </w:pPr>
      <w:r>
        <w:rPr>
          <w:rFonts w:ascii="Times New Roman" w:cs="Times New Roman" w:eastAsia="Times New Roman" w:hAnsi="Times New Roman"/>
          <w:sz w:val="18"/>
          <w:szCs w:val="18"/>
          <w:color w:val="auto"/>
        </w:rPr>
        <w:t>We are requesting that the stockholders approve this amendment to the 2023 Plan (“Amended 2023 Plan”). We are not requesting approval of any other changes to the 2023 Plan. The material terms of the 2023 Plan, as amended to increase the number of shares of our common stock available for issuance, are described under the “Description of the Amended 2023 Equity Incentive Plan,” below.</w:t>
      </w:r>
    </w:p>
    <w:p>
      <w:pPr>
        <w:spacing w:after="0" w:line="122" w:lineRule="exact"/>
        <w:rPr>
          <w:sz w:val="20"/>
          <w:szCs w:val="20"/>
          <w:color w:val="auto"/>
        </w:rPr>
      </w:pPr>
    </w:p>
    <w:p>
      <w:pPr>
        <w:ind w:right="360" w:firstLine="405"/>
        <w:spacing w:after="0" w:line="282" w:lineRule="auto"/>
        <w:rPr>
          <w:sz w:val="20"/>
          <w:szCs w:val="20"/>
          <w:color w:val="auto"/>
        </w:rPr>
      </w:pPr>
      <w:r>
        <w:rPr>
          <w:rFonts w:ascii="Times New Roman" w:cs="Times New Roman" w:eastAsia="Times New Roman" w:hAnsi="Times New Roman"/>
          <w:sz w:val="18"/>
          <w:szCs w:val="18"/>
          <w:color w:val="auto"/>
        </w:rPr>
        <w:t>If the stockholders do not approve the increase in the number of shares available for issuance, we will continue to operate the 2023 Plan under its current provisions.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Amended 2023 Plan</w:t>
      </w:r>
    </w:p>
    <w:p>
      <w:pPr>
        <w:spacing w:after="0" w:line="175"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Board approved the Amended 2023 Plan to ensure that we can continue to grant stock options, RSU awards and other awards in order to provide long-term incentives to current and future employees, non-employee directors and consultants. Our continued ability to offer equity awards under the Amended 2023 Plan is critical to our ability to attract, motivate and retain qualified employees, non-employee directors and consultants, particularly as we grow to support the research and development of our product candidates and in light of the highly competitive market for talent in which we operate.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Shares Available for Future Awards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March 27, 2026, a total of 1,279,465 shares of our common stock remained available for grant under the 2023 Plan.</w:t>
      </w:r>
    </w:p>
    <w:p>
      <w:pPr>
        <w:spacing w:after="0" w:line="171"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The Board believes that the additional shares are necessary to meet our anticipated equity compensation needs. The proposed increase is expected to last approximately one to two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Amended 2023 Plan</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Awards Are an Important Part of Our Compensation Philosophy</w:t>
      </w:r>
    </w:p>
    <w:p>
      <w:pPr>
        <w:spacing w:after="0" w:line="175"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discovering, developing, manufacturing and commercializing innovative antibody-based therapeutics for the treatment of cancer. These therapeutic product development cycles typically span multiple years, and our Board believes that the issuance of equity awards is a key element underlying our ability to attract, retain and motivate our employees, including key personnel, as well as non-employee directors, and consultants with the scientific and technical expertise required for successful long-term execution. Without such key personnel, non-employee directors and consultants, we might not achieve our development and commercialization plans. Therefore, the Board believes that the Amended 2023 Plan to increase the number of shares issuable under the 2023 Plan is in the best interests of the Company and its stockholders and recommends a vote in favor of this Proposal No. 4.</w:t>
      </w:r>
    </w:p>
    <w:p>
      <w:pPr>
        <w:spacing w:after="0" w:line="135" w:lineRule="exact"/>
        <w:rPr>
          <w:sz w:val="20"/>
          <w:szCs w:val="20"/>
          <w:color w:val="auto"/>
        </w:rPr>
      </w:pPr>
    </w:p>
    <w:p>
      <w:pPr>
        <w:ind w:right="180" w:firstLine="405"/>
        <w:spacing w:after="0" w:line="253" w:lineRule="auto"/>
        <w:rPr>
          <w:sz w:val="20"/>
          <w:szCs w:val="20"/>
          <w:color w:val="auto"/>
        </w:rPr>
      </w:pPr>
      <w:r>
        <w:rPr>
          <w:rFonts w:ascii="Times New Roman" w:cs="Times New Roman" w:eastAsia="Times New Roman" w:hAnsi="Times New Roman"/>
          <w:sz w:val="18"/>
          <w:szCs w:val="18"/>
          <w:color w:val="auto"/>
        </w:rPr>
        <w:t>Approval by our stockholders of the Amended 2023 Plan to increase the number of shares issuable under the 2023 Plan will allow us to continue to attract and retain highly trained and experienced individuals who are critical to our success, through the grant of equity awards at levels determined appropriate by our Board or Human Capital Management Committee. The Amended 2023 Plan will also allow us to utilize equity awards as long-term incentives to secure and retain the services of current and future employees, non-employee directors and consultants, consistent with our compensation philosophy and common compensation practice for biopharmaceutical companies. To date, we have relied significantly on equity awards in the form of stock option and RSU grants to attract and retain key employees, non-employee directors and consultants, all of whom are critical to our success. We believe the use of stock option and RSU grants strongly aligns the interests of our employees with those of our stockholders by placing a considerable proportion of our employees’ total compensation “at risk” because their compensation is contingent on the appreciation in value of our common stock. In addition, we believe equity award grants encourage employee ownership in the Company and promote retention through the reward of long-term value accretion.</w:t>
      </w:r>
    </w:p>
    <w:p>
      <w:pPr>
        <w:spacing w:after="0" w:line="8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Furthermore, as previously disclosed, effective as of August 13, 2025, the Board appointed Mr. Risser to serve as the Company’s President and Chief Executive Officer. In connection with the appointment of Mr. Risser to the Company’s President and Chief Executive Officer, Mr. Risser was granted a stock option award to purchase 550,000 shares of the Company’s common stock at an exercise price equal to the closing per-share trading price of the common stock on August 13, 2025.</w:t>
      </w:r>
    </w:p>
    <w:p>
      <w:pPr>
        <w:spacing w:after="0" w:line="200" w:lineRule="exact"/>
        <w:rPr>
          <w:sz w:val="20"/>
          <w:szCs w:val="20"/>
          <w:color w:val="auto"/>
        </w:rPr>
      </w:pPr>
    </w:p>
    <w:p>
      <w:pPr>
        <w:spacing w:after="0" w:line="3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0" w:name="page21"/>
    <w:bookmarkEnd w:id="20"/>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We Manage Our Equity Incentive Award Use Carefully, and Our Plan is Broad-based</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Equity awards are a vital part of our overall compensation program. Our compensation philosophy reflects broad-based eligibility for equity incentive awards, and we grant awards to substantially all of our employees. However, we recognize that equity awards dilute existing stockholders, and, therefore, we must responsibly manage the growth of our equity compensation program. We are committed to effectively monitoring our equity compensation share reserve, including our “burn rate,” to ensure that we maximize stockholders’ value by granting the appropriate number of equity incentive awards necessary to attract, reward, and retain employees and non-employee directors. The tables below show our responsible overhang and burn rate percentages.</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The Size of Our Share Reserve Increase Is Reasonable</w:t>
      </w:r>
    </w:p>
    <w:p>
      <w:pPr>
        <w:spacing w:after="0" w:line="175"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 xml:space="preserve">As described above, the 2023 Plan had 1,279,465 shares remaining available for grant as of March 27, 2026. If this Proposal No. 4 is approved by our stockholders, we will have a total of approximately 2,529,465 shares available for grant after the Annual Meeting, which includes 1,250,000 new shares available for grant pursuant to the Amended 2023 Plan,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1,279,465 shares, which represent the shares remaining available for issuance under the 2023 Plan.</w:t>
      </w:r>
    </w:p>
    <w:p>
      <w:pPr>
        <w:spacing w:after="0" w:line="12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The Amended 2023 Plan will provide sufficient shares for issuance to meet our estimated near-term equity compensation needs for our current and future employees, non-employee directors and consultants. We operate in a highly competitive industry and geographies for employee talent and do not expect required rates of compensation to decline. One alternative to using equity awards would be to significantly increase cash compensation. We do not believe this would be in our best interests or the best interests of our stockholders because it would significantly impact our financial resources to further advance our programs. We believe that a combination of equity and cash compensation is more appropriate and preferable and meets the expected industry recruiting standards needed to enable us to attract, retain and motivate employees. It also helps to align our employees' interests with those of our stockholders. Any significant increase in cash compensation in lieu of equity awards would reduce the cash otherwise available for advancing the development of our product candidates. Furthermore, we do not believe a cash-oriented compensation program would provide the same value to us or our stockholders with respect to long-term employee retention or serve to align employees’ interests with those of our stockholders, in comparison to a program that includes equity awards.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Overhang</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certain additional information regarding our use of equity awards:</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20" w:type="dxa"/>
            <w:vAlign w:val="bottom"/>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As of March 27, 2026</w:t>
            </w:r>
          </w:p>
        </w:tc>
      </w:tr>
      <w:tr>
        <w:trPr>
          <w:trHeight w:val="214"/>
        </w:trPr>
        <w:tc>
          <w:tcPr>
            <w:tcW w:w="8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(Record Date)</w:t>
            </w:r>
          </w:p>
        </w:tc>
      </w:tr>
      <w:tr>
        <w:trPr>
          <w:trHeight w:val="238"/>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stock options</w:t>
            </w:r>
          </w:p>
        </w:tc>
        <w:tc>
          <w:tcPr>
            <w:tcW w:w="220" w:type="dxa"/>
            <w:vAlign w:val="bottom"/>
            <w:shd w:val="clear" w:color="auto" w:fill="CCEEFF"/>
          </w:tcPr>
          <w:p>
            <w:pPr>
              <w:spacing w:after="0"/>
              <w:rPr>
                <w:sz w:val="20"/>
                <w:szCs w:val="20"/>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16,556,562</w:t>
            </w:r>
          </w:p>
        </w:tc>
      </w:tr>
      <w:tr>
        <w:trPr>
          <w:trHeight w:val="25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w:t>
            </w:r>
          </w:p>
        </w:tc>
      </w:tr>
      <w:tr>
        <w:trPr>
          <w:trHeight w:val="257"/>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w:t>
            </w:r>
          </w:p>
        </w:tc>
        <w:tc>
          <w:tcPr>
            <w:tcW w:w="2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 years</w:t>
            </w:r>
          </w:p>
        </w:tc>
      </w:tr>
      <w:tr>
        <w:trPr>
          <w:trHeight w:val="256"/>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full value awards (RSUs and PSUs)</w:t>
            </w:r>
          </w:p>
        </w:tc>
        <w:tc>
          <w:tcPr>
            <w:tcW w:w="220" w:type="dxa"/>
            <w:vAlign w:val="bottom"/>
          </w:tcPr>
          <w:p>
            <w:pPr>
              <w:spacing w:after="0"/>
              <w:rPr>
                <w:sz w:val="22"/>
                <w:szCs w:val="22"/>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980,217</w:t>
            </w:r>
          </w:p>
        </w:tc>
      </w:tr>
      <w:tr>
        <w:trPr>
          <w:trHeight w:val="257"/>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the 2023 Plan</w:t>
            </w:r>
          </w:p>
        </w:tc>
        <w:tc>
          <w:tcPr>
            <w:tcW w:w="2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1,279,465</w:t>
            </w:r>
          </w:p>
        </w:tc>
      </w:tr>
      <w:tr>
        <w:trPr>
          <w:trHeight w:val="270"/>
        </w:trPr>
        <w:tc>
          <w:tcPr>
            <w:tcW w:w="8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20" w:type="dxa"/>
            <w:vAlign w:val="bottom"/>
          </w:tcPr>
          <w:p>
            <w:pPr>
              <w:spacing w:after="0"/>
              <w:rPr>
                <w:sz w:val="23"/>
                <w:szCs w:val="23"/>
                <w:color w:val="auto"/>
              </w:rPr>
            </w:pPr>
          </w:p>
        </w:tc>
      </w:tr>
      <w:tr>
        <w:trPr>
          <w:trHeight w:val="256"/>
        </w:trPr>
        <w:tc>
          <w:tcPr>
            <w:tcW w:w="8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number of shares of common stock outstanding</w:t>
            </w:r>
          </w:p>
        </w:tc>
        <w:tc>
          <w:tcPr>
            <w:tcW w:w="220" w:type="dxa"/>
            <w:vAlign w:val="bottom"/>
            <w:shd w:val="clear" w:color="auto" w:fill="CCEEFF"/>
          </w:tcPr>
          <w:p>
            <w:pPr>
              <w:spacing w:after="0"/>
              <w:rPr>
                <w:sz w:val="22"/>
                <w:szCs w:val="22"/>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63,560,068</w:t>
            </w:r>
          </w:p>
        </w:tc>
      </w:tr>
      <w:tr>
        <w:trPr>
          <w:trHeight w:val="257"/>
        </w:trPr>
        <w:tc>
          <w:tcPr>
            <w:tcW w:w="8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Per-share closing price of common stock as reported on Nasdaq Global Select Market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Burn Rate</w:t>
      </w:r>
    </w:p>
    <w:p>
      <w:pPr>
        <w:spacing w:after="0" w:line="175" w:lineRule="exact"/>
        <w:rPr>
          <w:sz w:val="20"/>
          <w:szCs w:val="20"/>
          <w:color w:val="auto"/>
        </w:rPr>
      </w:pPr>
    </w:p>
    <w:p>
      <w:pPr>
        <w:jc w:val="both"/>
        <w:ind w:right="120" w:firstLine="405"/>
        <w:spacing w:after="0" w:line="261" w:lineRule="auto"/>
        <w:rPr>
          <w:sz w:val="20"/>
          <w:szCs w:val="20"/>
          <w:color w:val="auto"/>
        </w:rPr>
      </w:pPr>
      <w:r>
        <w:rPr>
          <w:rFonts w:ascii="Times New Roman" w:cs="Times New Roman" w:eastAsia="Times New Roman" w:hAnsi="Times New Roman"/>
          <w:sz w:val="18"/>
          <w:szCs w:val="18"/>
          <w:color w:val="auto"/>
        </w:rPr>
        <w:t>The Company monitors stockholder dilution by tracking the number of shares subject to equity awards that it grants annually, commonly referred to as the burn rate. Burn rate shows how rapidly a company is depleting its shares reserved for equity compensation awards and is defined for this purpose as the number of equity awards granted as incentives during the year divided by the weighted average number of shares of common stock outstanding during the year. The Company has calculated the burn rate for the past three years, as set forth in the following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 Number of Shares of</w:t>
            </w: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 Number of Shares of</w:t>
            </w:r>
          </w:p>
        </w:tc>
        <w:tc>
          <w:tcPr>
            <w:tcW w:w="24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Weighted Average Number of</w:t>
            </w:r>
          </w:p>
        </w:tc>
        <w:tc>
          <w:tcPr>
            <w:tcW w:w="2100" w:type="dxa"/>
            <w:vAlign w:val="bottom"/>
          </w:tcPr>
          <w:p>
            <w:pPr>
              <w:spacing w:after="0"/>
              <w:rPr>
                <w:sz w:val="14"/>
                <w:szCs w:val="14"/>
                <w:color w:val="auto"/>
              </w:rPr>
            </w:pPr>
          </w:p>
        </w:tc>
      </w:tr>
      <w:tr>
        <w:trPr>
          <w:trHeight w:val="162"/>
        </w:trPr>
        <w:tc>
          <w:tcPr>
            <w:tcW w:w="1860" w:type="dxa"/>
            <w:vAlign w:val="bottom"/>
          </w:tcPr>
          <w:p>
            <w:pPr>
              <w:spacing w:after="0"/>
              <w:rPr>
                <w:sz w:val="14"/>
                <w:szCs w:val="14"/>
                <w:color w:val="auto"/>
              </w:rPr>
            </w:pP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Common Stock Subject to</w:t>
            </w: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Common Stock Subject to Full</w:t>
            </w:r>
          </w:p>
        </w:tc>
        <w:tc>
          <w:tcPr>
            <w:tcW w:w="2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Shares of Common Stock</w:t>
            </w:r>
          </w:p>
        </w:tc>
        <w:tc>
          <w:tcPr>
            <w:tcW w:w="2100" w:type="dxa"/>
            <w:vAlign w:val="bottom"/>
          </w:tcPr>
          <w:p>
            <w:pPr>
              <w:spacing w:after="0"/>
              <w:rPr>
                <w:sz w:val="14"/>
                <w:szCs w:val="14"/>
                <w:color w:val="auto"/>
              </w:rPr>
            </w:pPr>
          </w:p>
        </w:tc>
      </w:tr>
      <w:tr>
        <w:trPr>
          <w:trHeight w:val="190"/>
        </w:trPr>
        <w:tc>
          <w:tcPr>
            <w:tcW w:w="1860" w:type="dxa"/>
            <w:vAlign w:val="bottom"/>
          </w:tcPr>
          <w:p>
            <w:pPr>
              <w:spacing w:after="0"/>
              <w:rPr>
                <w:sz w:val="16"/>
                <w:szCs w:val="16"/>
                <w:color w:val="auto"/>
              </w:rPr>
            </w:pP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Stock Options Granted</w:t>
            </w:r>
          </w:p>
        </w:tc>
        <w:tc>
          <w:tcPr>
            <w:tcW w:w="24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Value Awards Granted</w:t>
            </w:r>
          </w:p>
        </w:tc>
        <w:tc>
          <w:tcPr>
            <w:tcW w:w="24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100" w:type="dxa"/>
            <w:vAlign w:val="bottom"/>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Burn Rate</w:t>
            </w:r>
          </w:p>
        </w:tc>
      </w:tr>
      <w:tr>
        <w:trPr>
          <w:trHeight w:val="23"/>
        </w:trPr>
        <w:tc>
          <w:tcPr>
            <w:tcW w:w="18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3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2025</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3,074,544</w:t>
            </w:r>
          </w:p>
        </w:tc>
        <w:tc>
          <w:tcPr>
            <w:tcW w:w="46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359,420</w:t>
            </w:r>
          </w:p>
        </w:tc>
        <w:tc>
          <w:tcPr>
            <w:tcW w:w="460" w:type="dxa"/>
            <w:vAlign w:val="bottom"/>
            <w:tcBorders>
              <w:bottom w:val="single" w:sz="8" w:color="CCEEFF"/>
            </w:tcBorders>
            <w:shd w:val="clear" w:color="auto" w:fill="CCEEFF"/>
          </w:tcPr>
          <w:p>
            <w:pPr>
              <w:spacing w:after="0"/>
              <w:rPr>
                <w:sz w:val="20"/>
                <w:szCs w:val="20"/>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63,155,096</w:t>
            </w:r>
          </w:p>
        </w:tc>
        <w:tc>
          <w:tcPr>
            <w:tcW w:w="460" w:type="dxa"/>
            <w:vAlign w:val="bottom"/>
            <w:tcBorders>
              <w:bottom w:val="single" w:sz="8" w:color="CCEEFF"/>
            </w:tcBorders>
            <w:shd w:val="clear" w:color="auto" w:fill="CCEEFF"/>
          </w:tcPr>
          <w:p>
            <w:pPr>
              <w:spacing w:after="0"/>
              <w:rPr>
                <w:sz w:val="20"/>
                <w:szCs w:val="20"/>
                <w:color w:val="auto"/>
              </w:rPr>
            </w:pPr>
          </w:p>
        </w:tc>
        <w:tc>
          <w:tcPr>
            <w:tcW w:w="2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5.44 %</w:t>
            </w:r>
          </w:p>
        </w:tc>
      </w:tr>
      <w:tr>
        <w:trPr>
          <w:trHeight w:val="234"/>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Year 2024</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1,986,192</w:t>
            </w:r>
          </w:p>
        </w:tc>
        <w:tc>
          <w:tcPr>
            <w:tcW w:w="46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679,715</w:t>
            </w:r>
          </w:p>
        </w:tc>
        <w:tc>
          <w:tcPr>
            <w:tcW w:w="4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62,621,185</w:t>
            </w:r>
          </w:p>
        </w:tc>
        <w:tc>
          <w:tcPr>
            <w:tcW w:w="46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4.26 %</w:t>
            </w:r>
          </w:p>
        </w:tc>
      </w:tr>
      <w:tr>
        <w:trPr>
          <w:trHeight w:val="22"/>
        </w:trPr>
        <w:tc>
          <w:tcPr>
            <w:tcW w:w="18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r>
      <w:tr>
        <w:trPr>
          <w:trHeight w:val="234"/>
        </w:trPr>
        <w:tc>
          <w:tcPr>
            <w:tcW w:w="1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Year 2023</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3,367,777</w:t>
            </w:r>
          </w:p>
        </w:tc>
        <w:tc>
          <w:tcPr>
            <w:tcW w:w="46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707,635</w:t>
            </w:r>
          </w:p>
        </w:tc>
        <w:tc>
          <w:tcPr>
            <w:tcW w:w="460" w:type="dxa"/>
            <w:vAlign w:val="bottom"/>
            <w:shd w:val="clear" w:color="auto" w:fill="CCEEFF"/>
          </w:tcPr>
          <w:p>
            <w:pPr>
              <w:spacing w:after="0"/>
              <w:rPr>
                <w:sz w:val="20"/>
                <w:szCs w:val="20"/>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61,929,198</w:t>
            </w:r>
          </w:p>
        </w:tc>
        <w:tc>
          <w:tcPr>
            <w:tcW w:w="460" w:type="dxa"/>
            <w:vAlign w:val="bottom"/>
            <w:shd w:val="clear" w:color="auto" w:fill="CCEEFF"/>
          </w:tcPr>
          <w:p>
            <w:pPr>
              <w:spacing w:after="0"/>
              <w:rPr>
                <w:sz w:val="20"/>
                <w:szCs w:val="20"/>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6.58 %</w:t>
            </w:r>
          </w:p>
        </w:tc>
      </w:tr>
      <w:tr>
        <w:trPr>
          <w:trHeight w:val="22"/>
        </w:trPr>
        <w:tc>
          <w:tcPr>
            <w:tcW w:w="18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96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r>
    </w:tbl>
    <w:p>
      <w:pPr>
        <w:spacing w:after="0" w:line="316" w:lineRule="exact"/>
        <w:rPr>
          <w:sz w:val="20"/>
          <w:szCs w:val="20"/>
          <w:color w:val="auto"/>
        </w:rPr>
      </w:pPr>
    </w:p>
    <w:p>
      <w:pPr>
        <w:ind w:right="680"/>
        <w:spacing w:after="0" w:line="230" w:lineRule="auto"/>
        <w:rPr>
          <w:sz w:val="20"/>
          <w:szCs w:val="20"/>
          <w:color w:val="auto"/>
        </w:rPr>
      </w:pPr>
      <w:r>
        <w:rPr>
          <w:rFonts w:ascii="Times New Roman" w:cs="Times New Roman" w:eastAsia="Times New Roman" w:hAnsi="Times New Roman"/>
          <w:sz w:val="18"/>
          <w:szCs w:val="18"/>
          <w:color w:val="auto"/>
        </w:rPr>
        <w:t>On a 3-year basis, our average gross burn rate of 5.4% is positioned between the 50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75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percentile and compares to a median of 6.5% among companies in our compensation peer group (see page 36).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Plan Features</w:t>
      </w:r>
    </w:p>
    <w:p>
      <w:pPr>
        <w:spacing w:after="0" w:line="175" w:lineRule="exact"/>
        <w:rPr>
          <w:sz w:val="20"/>
          <w:szCs w:val="20"/>
          <w:color w:val="auto"/>
        </w:rPr>
      </w:pPr>
    </w:p>
    <w:p>
      <w:pPr>
        <w:ind w:right="200" w:firstLine="405"/>
        <w:spacing w:after="0" w:line="282" w:lineRule="auto"/>
        <w:rPr>
          <w:sz w:val="20"/>
          <w:szCs w:val="20"/>
          <w:color w:val="auto"/>
        </w:rPr>
      </w:pPr>
      <w:r>
        <w:rPr>
          <w:rFonts w:ascii="Times New Roman" w:cs="Times New Roman" w:eastAsia="Times New Roman" w:hAnsi="Times New Roman"/>
          <w:sz w:val="18"/>
          <w:szCs w:val="18"/>
          <w:color w:val="auto"/>
        </w:rPr>
        <w:t>The 2023 Plan includes provisions that are designed to protect our stockholders' interests and to reflect corporate governance and best practices and are not impacted by this amendment, and those provisions continue in the Amended 2023 Plan including:</w:t>
      </w:r>
    </w:p>
    <w:p>
      <w:pPr>
        <w:spacing w:after="0" w:line="106" w:lineRule="exact"/>
        <w:rPr>
          <w:sz w:val="20"/>
          <w:szCs w:val="20"/>
          <w:color w:val="auto"/>
        </w:rPr>
      </w:pPr>
    </w:p>
    <w:p>
      <w:pPr>
        <w:ind w:left="660" w:right="20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single trigger accelerated vesting upon change in control. </w:t>
      </w:r>
      <w:r>
        <w:rPr>
          <w:rFonts w:ascii="Times New Roman" w:cs="Times New Roman" w:eastAsia="Times New Roman" w:hAnsi="Times New Roman"/>
          <w:sz w:val="18"/>
          <w:szCs w:val="18"/>
          <w:color w:val="auto"/>
        </w:rPr>
        <w:t>The Amended 2023 Plan does not provide for any automatic mandatory vesting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upon a change in control.</w:t>
      </w:r>
    </w:p>
    <w:p>
      <w:pPr>
        <w:spacing w:after="0" w:line="104" w:lineRule="exact"/>
        <w:rPr>
          <w:rFonts w:ascii="Times New Roman" w:cs="Times New Roman" w:eastAsia="Times New Roman" w:hAnsi="Times New Roman"/>
          <w:sz w:val="18"/>
          <w:szCs w:val="18"/>
          <w:color w:val="auto"/>
        </w:rPr>
      </w:pPr>
    </w:p>
    <w:p>
      <w:pPr>
        <w:ind w:left="660" w:right="4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on repricing. </w:t>
      </w:r>
      <w:r>
        <w:rPr>
          <w:rFonts w:ascii="Times New Roman" w:cs="Times New Roman" w:eastAsia="Times New Roman" w:hAnsi="Times New Roman"/>
          <w:sz w:val="18"/>
          <w:szCs w:val="18"/>
          <w:color w:val="auto"/>
        </w:rPr>
        <w:t>The Amended 2023 Plan specifically prohibits us from repricing any outstanding stock option or stock appreciation right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reducing the exercise price of the stock option or stock appreciation right or canceling any outstanding stock option or stock appreciation right that has an exercise price or strike price in excess of the current fair market value in exchange for cash or other stock awards without obtaining the approval of our stockholders within 12 months prior to such event.</w:t>
      </w:r>
    </w:p>
    <w:p>
      <w:pPr>
        <w:spacing w:after="0" w:line="125" w:lineRule="exact"/>
        <w:rPr>
          <w:rFonts w:ascii="Times New Roman" w:cs="Times New Roman" w:eastAsia="Times New Roman" w:hAnsi="Times New Roman"/>
          <w:sz w:val="18"/>
          <w:szCs w:val="18"/>
          <w:color w:val="auto"/>
        </w:rPr>
      </w:pPr>
    </w:p>
    <w:p>
      <w:pPr>
        <w:ind w:left="660" w:right="360" w:hanging="328"/>
        <w:spacing w:after="0" w:line="284"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on the payment of dividends and dividend equivalents on unvested stock options or awards. </w:t>
      </w:r>
      <w:r>
        <w:rPr>
          <w:rFonts w:ascii="Times New Roman" w:cs="Times New Roman" w:eastAsia="Times New Roman" w:hAnsi="Times New Roman"/>
          <w:sz w:val="18"/>
          <w:szCs w:val="18"/>
          <w:color w:val="auto"/>
        </w:rPr>
        <w:t>The Amended 2023 Plan prohibits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or crediting of dividends or dividend equivalents with respect to any award until the underlying shares or units vest.</w:t>
      </w:r>
    </w:p>
    <w:p>
      <w:pPr>
        <w:spacing w:after="0" w:line="104" w:lineRule="exact"/>
        <w:rPr>
          <w:rFonts w:ascii="Times New Roman" w:cs="Times New Roman" w:eastAsia="Times New Roman" w:hAnsi="Times New Roman"/>
          <w:sz w:val="18"/>
          <w:szCs w:val="18"/>
          <w:color w:val="auto"/>
        </w:rPr>
      </w:pPr>
    </w:p>
    <w:p>
      <w:pPr>
        <w:ind w:left="660" w:right="180" w:hanging="328"/>
        <w:spacing w:after="0" w:line="256"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on "liberal: share recycling on appreciation awards. </w:t>
      </w:r>
      <w:r>
        <w:rPr>
          <w:rFonts w:ascii="Times New Roman" w:cs="Times New Roman" w:eastAsia="Times New Roman" w:hAnsi="Times New Roman"/>
          <w:sz w:val="18"/>
          <w:szCs w:val="18"/>
          <w:color w:val="auto"/>
        </w:rPr>
        <w:t>Any shares of Common Stock reacquired or withheld (or not issued)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to satisfy the exercise or purchase price of a stock award will no longer be available for issuance under the 2023 Plan, including any shares subject to a stock award that are not delivered to a participant because such stock award is exercised through a reduction of shares subject to such stock award (i.e., “net exercised”). In addition, any shares reacquired or withheld (or not issued) by the Company to satisfy a tax withholding obligation in connection with an option or stock appreciation right, or any shares repurchased by the Company on the open market with the proceeds of the exercise or strike price of an option or stock appreciation right will no longer be available for issuance under the Amended 2023 Plan.</w:t>
      </w:r>
    </w:p>
    <w:p>
      <w:pPr>
        <w:spacing w:after="0" w:line="128" w:lineRule="exact"/>
        <w:rPr>
          <w:rFonts w:ascii="Times New Roman" w:cs="Times New Roman" w:eastAsia="Times New Roman" w:hAnsi="Times New Roman"/>
          <w:sz w:val="18"/>
          <w:szCs w:val="18"/>
          <w:color w:val="auto"/>
        </w:rPr>
      </w:pPr>
    </w:p>
    <w:p>
      <w:pPr>
        <w:ind w:left="660" w:hanging="328"/>
        <w:spacing w:after="0" w:line="25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Awards subject to forfeiture/clawback. </w:t>
      </w:r>
      <w:r>
        <w:rPr>
          <w:rFonts w:ascii="Times New Roman" w:cs="Times New Roman" w:eastAsia="Times New Roman" w:hAnsi="Times New Roman"/>
          <w:sz w:val="18"/>
          <w:szCs w:val="18"/>
          <w:color w:val="auto"/>
        </w:rPr>
        <w:t>In February 2021, our Board adopted a policy designed to allow for the recoupment of certain cash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compensation in the event of certain misconduct by our current and former Section 16 officers, which was further amended in November 2023. The policy allows for the recoupment of compensation, including compensation paid pursuant to all forms of equity compensation awards, that is granted, earned or vested based in whole or in part on the attainment of certain financial reporting measures. We may recover such compensation in the event of an accounting restatement due to material noncompliance with any financial reporting requirement, the noncompliance to which a current or former Section 16 officer of the Company knowingly contributes through misconduct, which includes if the officer violates SEC rules and regulations, Company policy, or willfully commits an act of fraud, dishonesty, gross recklessness or gross negligence in the performance of their duties, as determined by the final disposition of any related action, suit, arbitration, alternate dispute resolution mechanism, investigation, inquiry, administrative hearing or any other completed proceeding. All Awards granted under the Plan will be subject to recoupment in accordance with the Company’s Incentive Compensation Recruitment Policy (the "Clawback Policy") adopted in February 2021 and amended in November 2023 or with any other clawback policy that the Company otherwise adopts.</w:t>
      </w:r>
    </w:p>
    <w:p>
      <w:pPr>
        <w:spacing w:after="0" w:line="137" w:lineRule="exact"/>
        <w:rPr>
          <w:rFonts w:ascii="Times New Roman" w:cs="Times New Roman" w:eastAsia="Times New Roman" w:hAnsi="Times New Roman"/>
          <w:sz w:val="18"/>
          <w:szCs w:val="18"/>
          <w:color w:val="auto"/>
        </w:rPr>
      </w:pPr>
    </w:p>
    <w:p>
      <w:pPr>
        <w:ind w:left="660" w:right="20" w:hanging="328"/>
        <w:spacing w:after="0" w:line="267"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discounted stock options or stock appreciation rights. </w:t>
      </w:r>
      <w:r>
        <w:rPr>
          <w:rFonts w:ascii="Times New Roman" w:cs="Times New Roman" w:eastAsia="Times New Roman" w:hAnsi="Times New Roman"/>
          <w:sz w:val="18"/>
          <w:szCs w:val="18"/>
          <w:color w:val="auto"/>
        </w:rPr>
        <w:t>All stock options and stock appreciation rights granted under the 2023 Plan must have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or strike price equal to or greater than the fair market value of our common stock on the date the stock option or stock appreciation right is granted.</w:t>
      </w:r>
    </w:p>
    <w:p>
      <w:pPr>
        <w:spacing w:after="0" w:line="119"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Flexibility in designing equity compensation structure. </w:t>
      </w:r>
      <w:r>
        <w:rPr>
          <w:rFonts w:ascii="Times New Roman" w:cs="Times New Roman" w:eastAsia="Times New Roman" w:hAnsi="Times New Roman"/>
          <w:sz w:val="18"/>
          <w:szCs w:val="18"/>
          <w:color w:val="auto"/>
        </w:rPr>
        <w:t>The Amended 2023 Plan allows us to provide a broad array of equity incentives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traditional option grants, stock appreciation rights, restricted stock awards, RSU awards, performance stock awards and other stock awards. By providing this flexibility, we can quickly and effectively react to trends in compensation practices and continue to offer competitive compensation arrangements to attract and retain the talent necessary for the success of our business.</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Stockholder Approval</w:t>
      </w:r>
    </w:p>
    <w:p>
      <w:pPr>
        <w:spacing w:after="0" w:line="175"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If this Proposal No. 4 is approved by our stockholders, the Amended 2023 Plan will become effective as of the date of the Annual Meeting and the number of shares issuable under the 2023 Plan will be increased. In the event that our stockholders do not approve this Proposal No. 4, the Amended 2023 Plan will not become effective and the 2023 Plan will continue to be effective in accordance with its terms.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Amended 2023 Equity Incentive Plan</w:t>
      </w:r>
    </w:p>
    <w:p>
      <w:pPr>
        <w:spacing w:after="0" w:line="175"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material features of the Amended 2023 Plan are described below. The following description of the Amended 2023 Plan is a summary only and is qualified in its entirety by reference to the complete text of the Amended 2023 Plan. The Stockholders are urged to read the actual text of the Amended 2023 Plan is provided in </w:t>
      </w:r>
      <w:r>
        <w:rPr>
          <w:rFonts w:ascii="Times New Roman" w:cs="Times New Roman" w:eastAsia="Times New Roman" w:hAnsi="Times New Roman"/>
          <w:sz w:val="18"/>
          <w:szCs w:val="18"/>
          <w:i w:val="1"/>
          <w:iCs w:val="1"/>
          <w:color w:val="auto"/>
        </w:rPr>
        <w:t>Appendix A, w</w:t>
      </w:r>
      <w:r>
        <w:rPr>
          <w:rFonts w:ascii="Times New Roman" w:cs="Times New Roman" w:eastAsia="Times New Roman" w:hAnsi="Times New Roman"/>
          <w:sz w:val="18"/>
          <w:szCs w:val="18"/>
          <w:color w:val="auto"/>
        </w:rPr>
        <w:t>ith the amendment for which we are seeking approval shown in blackline text.</w:t>
      </w:r>
    </w:p>
    <w:p>
      <w:pPr>
        <w:spacing w:after="0" w:line="120" w:lineRule="exact"/>
        <w:rPr>
          <w:sz w:val="20"/>
          <w:szCs w:val="20"/>
          <w:color w:val="auto"/>
        </w:rPr>
      </w:pPr>
    </w:p>
    <w:p>
      <w:pPr>
        <w:ind w:right="36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Awards. </w:t>
      </w:r>
      <w:r>
        <w:rPr>
          <w:rFonts w:ascii="Times New Roman" w:cs="Times New Roman" w:eastAsia="Times New Roman" w:hAnsi="Times New Roman"/>
          <w:sz w:val="18"/>
          <w:szCs w:val="18"/>
          <w:color w:val="auto"/>
        </w:rPr>
        <w:t>Our Amended 2023 Plan provides for the grant of incentive stock options ("ISOs"), within the meaning of Section 422 of the Internal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 Code ("IRC") to employees, including employees of any parent or subsidiary, and for the grant of nonstatutory stock options ("NSOs"), stock appreciation rights, restricted stock awards, RSU awards, performance awards and other forms of awards to employees, non-employee directors and consultants.</w:t>
      </w:r>
    </w:p>
    <w:p>
      <w:pPr>
        <w:spacing w:after="0" w:line="126"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Authorized Shares. </w:t>
      </w:r>
      <w:r>
        <w:rPr>
          <w:rFonts w:ascii="Times New Roman" w:cs="Times New Roman" w:eastAsia="Times New Roman" w:hAnsi="Times New Roman"/>
          <w:sz w:val="18"/>
          <w:szCs w:val="18"/>
          <w:color w:val="auto"/>
        </w:rPr>
        <w:t>The maximum number of shares of our common stock that may be issued under our Amended 2023 Plan will not exceed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9,350,000 shares, which is equal to the sum of (1) 2,140,009 shares originally reserved under the 2023 Plan, plus (2) 3,250,000 shares added to the 2023 Plan approved by our stockholders at our subsequent annual meetings of stockholders, plus (3) 1,250,000 new shares subject to the Amended 2023 Plan, plus (4) shares that remained available for the issuance of awards under our 2013 Stock Incentive Plan ("2013 Plan") as of immediately prior to the time our 2023 Plan became effective, plus (5) shares of our common stock subject to outstanding stock options or other stock awards granted under our 2013 Plan that, on or after our 2023 Plan became effective,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The maximum number of shares of our common stock that may be issued on the exercise of ISOs under our Amended 2023 Plan is 18,000,000 shares.</w:t>
      </w:r>
    </w:p>
    <w:p>
      <w:pPr>
        <w:spacing w:after="0" w:line="136" w:lineRule="exact"/>
        <w:rPr>
          <w:sz w:val="20"/>
          <w:szCs w:val="20"/>
          <w:color w:val="auto"/>
        </w:rPr>
      </w:pPr>
    </w:p>
    <w:p>
      <w:pPr>
        <w:ind w:right="40" w:firstLine="405"/>
        <w:spacing w:after="0" w:line="253" w:lineRule="auto"/>
        <w:rPr>
          <w:sz w:val="20"/>
          <w:szCs w:val="20"/>
          <w:color w:val="auto"/>
        </w:rPr>
      </w:pPr>
      <w:r>
        <w:rPr>
          <w:rFonts w:ascii="Times New Roman" w:cs="Times New Roman" w:eastAsia="Times New Roman" w:hAnsi="Times New Roman"/>
          <w:sz w:val="18"/>
          <w:szCs w:val="18"/>
          <w:color w:val="auto"/>
        </w:rPr>
        <w:t>Shares subject to stock awards granted under our Amended 2023 Plan that expire or terminate without being exercised in full or that are paid out in cash rather than in shares will not reduce the number of shares available for issuance under our Amended 2023 Plan. Any shares of our common stock previously issued pursuant to a stock award that are forfeited back to or repurchased or reacquired by us because of a failure to meet a contingency or condition required for the vesting of such shares will be added back to the share reserve and again become available under the Amended 2023 Plan. In addition, shares withheld to satisfy a tax withholding obligation in connection with an award other than a stock option or stock appreciation right will not reduce the number of shares available for issuance under our Amended 2023 Plan. However, the following types of shares subject to stock awards will reduce the share reserve and will not become available for the grant of new stock awards under the Amended 2023 Plan: (1) shares of common stock reacquired or withheld (or not issued) by us to satisfy the exercise or purchase price of a stock award, including any shares subject to a stock award that are not delivered to a participant because the stock award is exercised through a reduction of shares subject to the stock award, (2) shares reacquired or withheld (or not issued) by the Company to satisfy a tax withholding obligation in connection with an option or stock appreciation right, and (3) any shares repurchased on the open market with the proceeds of the exercise or strike price of an option or stock appreciation right.</w:t>
      </w:r>
    </w:p>
    <w:p>
      <w:pPr>
        <w:spacing w:after="0" w:line="136"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Our Board of Directors, or a duly authorized committee of our Board of Directors, administer our Amended 2023 Plan and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Amended 2023 Plan, the plan administrator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30"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The plan administrator has the power to modify outstanding awards under our Amended 2023 Plan; provided, however, that the Amended 2023 Plan specifically prohibits the plan administrator from repricing any outstanding stock option or stock appreciation right by reducing the exercise price of the stock option or stock appreciation right, or from canceling any outstanding stock option or stock appreciation right that has an exercise price or strike price in excess of the current fair market value in exchange for cash or other stock awards, in either case without obtaining the approval of our stockholders within 12 months prior to such event.</w:t>
      </w:r>
    </w:p>
    <w:p>
      <w:pPr>
        <w:spacing w:after="0" w:line="127"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Options. </w:t>
      </w:r>
      <w:r>
        <w:rPr>
          <w:rFonts w:ascii="Times New Roman" w:cs="Times New Roman" w:eastAsia="Times New Roman" w:hAnsi="Times New Roman"/>
          <w:sz w:val="18"/>
          <w:szCs w:val="18"/>
          <w:color w:val="auto"/>
        </w:rPr>
        <w:t>Our Amended 2023 Plan allows for the grant of ISOs and NSOs pursuant to stock option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The plan administrator will determine the exercise price for stock options, within the terms and conditions of our Amended 2023 Plan, provided that the exercise price of a stock option generally cannot be less than 100% of the fair market value of our common stock on the date of grant for NSOs and 110% of the fair market value of the stock subject to the option on the date of grant for ISOs. Options granted under our Amended 2023 Plan will vest at the rate specified in the stock option agreement as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3" w:name="page24"/>
    <w:bookmarkEnd w:id="23"/>
    <w:p>
      <w:pPr>
        <w:spacing w:after="0" w:line="253" w:lineRule="auto"/>
        <w:rPr>
          <w:sz w:val="20"/>
          <w:szCs w:val="20"/>
          <w:color w:val="auto"/>
        </w:rPr>
      </w:pPr>
      <w:r>
        <w:rPr>
          <w:rFonts w:ascii="Times New Roman" w:cs="Times New Roman" w:eastAsia="Times New Roman" w:hAnsi="Times New Roman"/>
          <w:sz w:val="18"/>
          <w:szCs w:val="18"/>
          <w:color w:val="auto"/>
        </w:rPr>
        <w:t>determined by the plan administrator. The plan administrator will determine the term of stock options granted under our Amended 2023 Plan, up to a maximum of 10 years. Unless the terms of an optionholder’s stock option agreement, or other written agreement between us and the recipient approved by the plan administrator, provide otherwise, if an optionholder’s 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either an exercise of the option or an immediate sale of shares acquired upon exercise of the option following such a termination of service is prohibited by applicable securities laws or our insider trading policy.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38" w:lineRule="exact"/>
        <w:rPr>
          <w:sz w:val="20"/>
          <w:szCs w:val="20"/>
          <w:color w:val="auto"/>
        </w:rPr>
      </w:pPr>
    </w:p>
    <w:p>
      <w:pPr>
        <w:ind w:right="220" w:firstLine="405"/>
        <w:spacing w:after="0" w:line="289" w:lineRule="auto"/>
        <w:rPr>
          <w:sz w:val="20"/>
          <w:szCs w:val="20"/>
          <w:color w:val="auto"/>
        </w:rPr>
      </w:pPr>
      <w:r>
        <w:rPr>
          <w:rFonts w:ascii="Times New Roman" w:cs="Times New Roman" w:eastAsia="Times New Roman" w:hAnsi="Times New Roman"/>
          <w:sz w:val="17"/>
          <w:szCs w:val="17"/>
          <w:color w:val="auto"/>
        </w:rPr>
        <w:t>Acceptable consideration for the purchase of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04" w:lineRule="exact"/>
        <w:rPr>
          <w:sz w:val="20"/>
          <w:szCs w:val="20"/>
          <w:color w:val="auto"/>
        </w:rPr>
      </w:pPr>
    </w:p>
    <w:p>
      <w:pPr>
        <w:jc w:val="both"/>
        <w:ind w:right="380" w:firstLine="405"/>
        <w:spacing w:after="0" w:line="266" w:lineRule="auto"/>
        <w:rPr>
          <w:sz w:val="20"/>
          <w:szCs w:val="20"/>
          <w:color w:val="auto"/>
        </w:rPr>
      </w:pPr>
      <w:r>
        <w:rPr>
          <w:rFonts w:ascii="Times New Roman" w:cs="Times New Roman" w:eastAsia="Times New Roman" w:hAnsi="Times New Roman"/>
          <w:sz w:val="18"/>
          <w:szCs w:val="18"/>
          <w:color w:val="auto"/>
        </w:rPr>
        <w:t>Unless the plan administrator provides otherwise, options or stock appreciation rights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20" w:lineRule="exact"/>
        <w:rPr>
          <w:sz w:val="20"/>
          <w:szCs w:val="20"/>
          <w:color w:val="auto"/>
        </w:rPr>
      </w:pPr>
    </w:p>
    <w:p>
      <w:pPr>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ISOs. </w:t>
      </w:r>
      <w:r>
        <w:rPr>
          <w:rFonts w:ascii="Times New Roman" w:cs="Times New Roman" w:eastAsia="Times New Roman" w:hAnsi="Times New Roman"/>
          <w:sz w:val="18"/>
          <w:szCs w:val="18"/>
          <w:color w:val="auto"/>
        </w:rPr>
        <w:t>The aggregate fair market value, determined at the time of grant, of our common stock with respect to ISOs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parent or subsidiary corporations unless (1) the option exercise price is at least 110% of the fair market value of the stock subject to the option on the date of grant and (2) the term of the ISO does not exceed five years from the date of grant.</w:t>
      </w:r>
    </w:p>
    <w:p>
      <w:pPr>
        <w:spacing w:after="0" w:line="128" w:lineRule="exact"/>
        <w:rPr>
          <w:sz w:val="20"/>
          <w:szCs w:val="20"/>
          <w:color w:val="auto"/>
        </w:rPr>
      </w:pPr>
    </w:p>
    <w:p>
      <w:pPr>
        <w:ind w:right="180"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Restricted Stock Unit Awards. </w:t>
      </w:r>
      <w:r>
        <w:rPr>
          <w:rFonts w:ascii="Times New Roman" w:cs="Times New Roman" w:eastAsia="Times New Roman" w:hAnsi="Times New Roman"/>
          <w:sz w:val="18"/>
          <w:szCs w:val="18"/>
          <w:color w:val="auto"/>
        </w:rPr>
        <w:t>Our Amended 2023 Plan allows for the grant of RSU awards pursuant to restricted stock unit award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plan administrator. RSU awards may be granted in consideration for any form of legal consideration that may be acceptable to the plan administrator and permissible under applicable law. An RSU award may be settled by cash, delivery of stock, a combination of cash and stock as deemed appropriate by the plan administrator or in any other form of consideration set forth in the RSU award agreement. Additionally, dividend equivalents may be credited in respect of shares covered by an RSU award. Except as otherwise provided in the applicable award agreement or other written agreement between us and the recipient approved by the plan administrator, RSU awards that have not vested will be forfeited once the participant’s continuous service ends for any reason.</w:t>
      </w:r>
    </w:p>
    <w:p>
      <w:pPr>
        <w:spacing w:after="0" w:line="129" w:lineRule="exact"/>
        <w:rPr>
          <w:sz w:val="20"/>
          <w:szCs w:val="20"/>
          <w:color w:val="auto"/>
        </w:rPr>
      </w:pPr>
    </w:p>
    <w:p>
      <w:pPr>
        <w:ind w:right="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Our Amended 2023 Plan allows for the grant of restricted stock awards pursuant to restricted stock award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plan administrator. A restricted stock award may be awarded in consideration for cash, check, bank draft or money order, past or future services to us or any other form of legal consideration that may be acceptable to the plan administrator and permissible under applicable law. The plan administrator will determine the terms and conditions of restricted stock awards, including vesting and forfeiture terms. If a participant’s service relationship with us ends for any reason, we may receive any or all of the shares of common stock held by the participant that have not vested as of the date the participant terminates service with us through a forfeiture condition or a repurchase right.</w:t>
      </w:r>
    </w:p>
    <w:p>
      <w:pPr>
        <w:spacing w:after="0" w:line="128" w:lineRule="exact"/>
        <w:rPr>
          <w:sz w:val="20"/>
          <w:szCs w:val="20"/>
          <w:color w:val="auto"/>
        </w:rPr>
      </w:pPr>
    </w:p>
    <w:p>
      <w:pPr>
        <w:ind w:right="140"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Our Amended 2023 Plan allows for the grant of stock appreciation rights pursuant to stock appreciation right agreements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adopted by the plan administrator. The plan administrator will determine the purchase price or strike price for a stock appreciation right, which generally will not be less than 100% of the fair market value of our common stock on the date of grant. A stock appreciation right granted under our Amended 2023 Plan will vest at the rate specified in the stock appreciation right agreement as determined by the plan administrator. Stock appreciation rights may be settled in cash or shares of common stock or in any other form of payment as determined by the plan administrator and specified in the stock appreciation right agreement.</w:t>
      </w:r>
    </w:p>
    <w:p>
      <w:pPr>
        <w:spacing w:after="0" w:line="130" w:lineRule="exact"/>
        <w:rPr>
          <w:sz w:val="20"/>
          <w:szCs w:val="20"/>
          <w:color w:val="auto"/>
        </w:rPr>
      </w:pPr>
    </w:p>
    <w:p>
      <w:pPr>
        <w:ind w:right="80" w:firstLine="405"/>
        <w:spacing w:after="0" w:line="255" w:lineRule="auto"/>
        <w:rPr>
          <w:sz w:val="20"/>
          <w:szCs w:val="20"/>
          <w:color w:val="auto"/>
        </w:rPr>
      </w:pPr>
      <w:r>
        <w:rPr>
          <w:rFonts w:ascii="Times New Roman" w:cs="Times New Roman" w:eastAsia="Times New Roman" w:hAnsi="Times New Roman"/>
          <w:sz w:val="18"/>
          <w:szCs w:val="18"/>
          <w:color w:val="auto"/>
        </w:rPr>
        <w:t>The plan administrator will determine the term of stock appreciation rights granted under our Amended 2023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ind w:right="320"/>
        <w:spacing w:after="0" w:line="282" w:lineRule="auto"/>
        <w:rPr>
          <w:sz w:val="20"/>
          <w:szCs w:val="20"/>
          <w:color w:val="auto"/>
        </w:rPr>
      </w:pPr>
      <w:r>
        <w:rPr>
          <w:rFonts w:ascii="Times New Roman" w:cs="Times New Roman" w:eastAsia="Times New Roman" w:hAnsi="Times New Roman"/>
          <w:sz w:val="18"/>
          <w:szCs w:val="18"/>
          <w:color w:val="auto"/>
        </w:rPr>
        <w:t>the occurrence of the event giving rise to the termination of the individual for cause. In no event may a stock appreciation right be exercised beyond the expiration of its term.</w:t>
      </w:r>
    </w:p>
    <w:p>
      <w:pPr>
        <w:spacing w:after="0" w:line="106"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Awards. </w:t>
      </w:r>
      <w:r>
        <w:rPr>
          <w:rFonts w:ascii="Times New Roman" w:cs="Times New Roman" w:eastAsia="Times New Roman" w:hAnsi="Times New Roman"/>
          <w:sz w:val="18"/>
          <w:szCs w:val="18"/>
          <w:color w:val="auto"/>
        </w:rPr>
        <w:t>Our Amended 2023 Plan permits the grant of performance awards that may be settled in stock, cash, or other property.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common stock.</w:t>
      </w:r>
    </w:p>
    <w:p>
      <w:pPr>
        <w:spacing w:after="0" w:line="128" w:lineRule="exact"/>
        <w:rPr>
          <w:sz w:val="20"/>
          <w:szCs w:val="20"/>
          <w:color w:val="auto"/>
        </w:rPr>
      </w:pPr>
    </w:p>
    <w:p>
      <w:pPr>
        <w:ind w:right="60" w:firstLine="405"/>
        <w:spacing w:after="0" w:line="251" w:lineRule="auto"/>
        <w:rPr>
          <w:sz w:val="20"/>
          <w:szCs w:val="20"/>
          <w:color w:val="auto"/>
        </w:rPr>
      </w:pPr>
      <w:r>
        <w:rPr>
          <w:rFonts w:ascii="Times New Roman" w:cs="Times New Roman" w:eastAsia="Times New Roman" w:hAnsi="Times New Roman"/>
          <w:sz w:val="18"/>
          <w:szCs w:val="18"/>
          <w:color w:val="auto"/>
        </w:rPr>
        <w:t>The performance goals may be based on any one of, or combination of, the following as determined by the plan administrator: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plan administrator.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w:t>
      </w:r>
    </w:p>
    <w:p>
      <w:pPr>
        <w:spacing w:after="0" w:line="10" w:lineRule="exact"/>
        <w:rPr>
          <w:sz w:val="20"/>
          <w:szCs w:val="20"/>
          <w:color w:val="auto"/>
        </w:rPr>
      </w:pPr>
    </w:p>
    <w:p>
      <w:pPr>
        <w:ind w:right="80"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restructuring and/or other nonrecurring charges; (2) to exclude exchange rate effects; (3) to exclude the effects of changes to GAAP; (4) to exclude the effects of any statutory adjustments to corporate tax rates; (5) to exclude the effects of items that are “unusual” in nature or occur “infrequently” as determined under GAAP; (6) to exclude the dilutive effects of acquisitions or joint ventures; (7) to assume that any portion of our business which is divested achieved performance objectives at targeted levels during the balance of a performance period following such divestiture; (8)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our bonus plans;</w:t>
      </w:r>
    </w:p>
    <w:p>
      <w:pPr>
        <w:spacing w:after="0" w:line="2" w:lineRule="exact"/>
        <w:rPr>
          <w:rFonts w:ascii="Times New Roman" w:cs="Times New Roman" w:eastAsia="Times New Roman" w:hAnsi="Times New Roman"/>
          <w:sz w:val="18"/>
          <w:szCs w:val="18"/>
          <w:color w:val="auto"/>
        </w:rPr>
      </w:pPr>
    </w:p>
    <w:p>
      <w:pPr>
        <w:ind w:right="260" w:firstLine="8"/>
        <w:spacing w:after="0" w:line="260"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exclude costs incurred in connection with potential acquisitions or divestitures that are required to be expensed under GAAP; and (11) to exclude the goodwill and intangible asset impairment charges that are required to be recorded under GAAP.</w:t>
      </w:r>
    </w:p>
    <w:p>
      <w:pPr>
        <w:spacing w:after="0" w:line="125" w:lineRule="exact"/>
        <w:rPr>
          <w:sz w:val="20"/>
          <w:szCs w:val="20"/>
          <w:color w:val="auto"/>
        </w:rPr>
      </w:pPr>
    </w:p>
    <w:p>
      <w:pPr>
        <w:ind w:right="14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Stock Awards. </w:t>
      </w:r>
      <w:r>
        <w:rPr>
          <w:rFonts w:ascii="Times New Roman" w:cs="Times New Roman" w:eastAsia="Times New Roman" w:hAnsi="Times New Roman"/>
          <w:sz w:val="18"/>
          <w:szCs w:val="18"/>
          <w:color w:val="auto"/>
        </w:rPr>
        <w:t>The plan administrator is permitted to grant other awards based in whole or in part by reference to our common stock.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will set the number of shares under the stock award (or cash equivalent) and all other terms and conditions of such awards.</w:t>
      </w:r>
    </w:p>
    <w:p>
      <w:pPr>
        <w:spacing w:after="0" w:line="104" w:lineRule="exact"/>
        <w:rPr>
          <w:sz w:val="20"/>
          <w:szCs w:val="20"/>
          <w:color w:val="auto"/>
        </w:rPr>
      </w:pPr>
    </w:p>
    <w:p>
      <w:pPr>
        <w:ind w:firstLine="405"/>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there is a specified type of change in our capital structure, such as a stock split, reverse stock split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appropriate adjustments will be made to (1) the class and maximum number of shares reserved for issuance under our Amended 2023 Plan,</w:t>
      </w:r>
    </w:p>
    <w:p>
      <w:pPr>
        <w:ind w:right="120" w:firstLine="8"/>
        <w:spacing w:after="0" w:line="255"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and maximum number of 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30"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corporate transaction, unless otherwise provided in a participant’s stock award agreement or other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with us or one of our affiliates or unless otherwise expressly provided by the plan administrator at the time of grant, any stock awards outstanding under our Amended 2023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(1)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(2) any such stock awards that are held by persons other than current participants will terminate if not exercised (if</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5" w:name="page26"/>
    <w:bookmarkEnd w:id="25"/>
    <w:p>
      <w:pPr>
        <w:ind w:right="220"/>
        <w:spacing w:after="0" w:line="282" w:lineRule="auto"/>
        <w:rPr>
          <w:sz w:val="20"/>
          <w:szCs w:val="20"/>
          <w:color w:val="auto"/>
        </w:rPr>
      </w:pPr>
      <w:r>
        <w:rPr>
          <w:rFonts w:ascii="Times New Roman" w:cs="Times New Roman" w:eastAsia="Times New Roman" w:hAnsi="Times New Roman"/>
          <w:sz w:val="18"/>
          <w:szCs w:val="18"/>
          <w:color w:val="auto"/>
        </w:rPr>
        <w:t>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08" w:lineRule="exact"/>
        <w:rPr>
          <w:sz w:val="20"/>
          <w:szCs w:val="20"/>
          <w:color w:val="auto"/>
        </w:rPr>
      </w:pPr>
    </w:p>
    <w:p>
      <w:pPr>
        <w:ind w:right="80" w:firstLine="405"/>
        <w:spacing w:after="0" w:line="258" w:lineRule="auto"/>
        <w:rPr>
          <w:sz w:val="20"/>
          <w:szCs w:val="20"/>
          <w:color w:val="auto"/>
        </w:rPr>
      </w:pPr>
      <w:r>
        <w:rPr>
          <w:rFonts w:ascii="Times New Roman" w:cs="Times New Roman" w:eastAsia="Times New Roman" w:hAnsi="Times New Roman"/>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(1) the per share amount payable to holders of common stock in connection with the corporate transaction, over (2) any per share exercise price payable by such holder, if applicable. In addition, any escrow, holdback, earn out or similar provisions in the definitive agreement for the corporate transaction may apply to such payment to the same extent and in the same manner as such provisions apply to the holders of common stock.</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our Amended 2023 Plan, a corporate transaction is generally defined as the consummation of: (1) a sale of all or substantially all of our assets,</w:t>
      </w:r>
    </w:p>
    <w:p>
      <w:pPr>
        <w:spacing w:after="0" w:line="27" w:lineRule="exact"/>
        <w:rPr>
          <w:sz w:val="20"/>
          <w:szCs w:val="20"/>
          <w:color w:val="auto"/>
        </w:rPr>
      </w:pPr>
    </w:p>
    <w:p>
      <w:pPr>
        <w:ind w:right="460" w:firstLine="8"/>
        <w:spacing w:after="0" w:line="255"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or disposition of at least 50% of our outstanding securities, (3) a merger or consolidation where we do not survive the transaction or (4) a merger or consolidation where we do survive the transaction but the shares of our common stock outstanding immediately before such transaction are converted or exchanged into other property by virtue of the transaction.</w:t>
      </w:r>
    </w:p>
    <w:p>
      <w:pPr>
        <w:spacing w:after="0" w:line="130" w:lineRule="exact"/>
        <w:rPr>
          <w:sz w:val="20"/>
          <w:szCs w:val="20"/>
          <w:color w:val="auto"/>
        </w:rPr>
      </w:pPr>
    </w:p>
    <w:p>
      <w:pPr>
        <w:jc w:val="both"/>
        <w:ind w:right="4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Awards granted under our Amended 2023 Plan may be subject to acceleration of vesting and exercisability upon or after a 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control as may be provided in the applicable stock award agreement or in any other written agreement between us or any affiliate and the participant, but in the absence of such provision, no such acceleration will automatically occur.</w:t>
      </w:r>
    </w:p>
    <w:p>
      <w:pPr>
        <w:spacing w:after="0" w:line="121" w:lineRule="exact"/>
        <w:rPr>
          <w:sz w:val="20"/>
          <w:szCs w:val="20"/>
          <w:color w:val="auto"/>
        </w:rPr>
      </w:pPr>
    </w:p>
    <w:p>
      <w:pPr>
        <w:ind w:firstLine="405"/>
        <w:spacing w:after="0" w:line="254" w:lineRule="auto"/>
        <w:rPr>
          <w:sz w:val="20"/>
          <w:szCs w:val="20"/>
          <w:color w:val="auto"/>
        </w:rPr>
      </w:pPr>
      <w:r>
        <w:rPr>
          <w:rFonts w:ascii="Times New Roman" w:cs="Times New Roman" w:eastAsia="Times New Roman" w:hAnsi="Times New Roman"/>
          <w:sz w:val="18"/>
          <w:szCs w:val="18"/>
          <w:color w:val="auto"/>
        </w:rPr>
        <w:t>Under our Amended 2023 Plan, a change in control is generally defined as: (1) the acquisition by any person or company of more than 50% of the combined voting power of our then outstanding stock; (2) a consummated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a consummated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(4) when a majority of our Board of Directors becomes comprised of individuals who were not serving on our Board of Directors on the date our Amended 2023 Plan was adopted by the Board of Directors, or the incumbent board, or whose nomination, appointment, or election was not approved by a majority of the incumbent board still in office.</w:t>
      </w:r>
    </w:p>
    <w:p>
      <w:pPr>
        <w:spacing w:after="0" w:line="132" w:lineRule="exact"/>
        <w:rPr>
          <w:sz w:val="20"/>
          <w:szCs w:val="20"/>
          <w:color w:val="auto"/>
        </w:rPr>
      </w:pPr>
    </w:p>
    <w:p>
      <w:pPr>
        <w:ind w:right="14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Plan Amendment or Termination. </w:t>
      </w:r>
      <w:r>
        <w:rPr>
          <w:rFonts w:ascii="Times New Roman" w:cs="Times New Roman" w:eastAsia="Times New Roman" w:hAnsi="Times New Roman"/>
          <w:sz w:val="18"/>
          <w:szCs w:val="18"/>
          <w:color w:val="auto"/>
        </w:rPr>
        <w:t>Our Board of Directors has the authority to amend, suspend or terminate our Amended 2023 Plan, provided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action does not materially impair the existing rights of any participant without such participant’s written consent. Certain material amendments also require the approval of our stockholders. If stockholders approve our Amended 2023 Plan, no ISOs may be granted after the tenth anniversary of the date our Board of Directors adopted our Amended 2023 Plan (or otherwise after our Board of Directors last approval of an increase in number of shares available for issuance under the 2023 Plan). No stock awards may be granted under our Amended 2023 Plan while it is suspended or after it is terminated.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175"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2023 Plan. This summary is not intended to be exhaustive and does not discuss the income tax laws of any local, state or foreign jurisdiction in which a participant may reside. The information set forth below is a summary only and does not purport to be complete. The information is based upon current federal income tax rules and therefore is subject to change when those rules change. Because the tax consequences to any recipient may depend on his or her particular situation, each recipient should consult their tax adviser regarding the federal, state, local and other tax consequences of the grant or exercise of an award or the disposition of stock acquired as a result of an award under the Amended 2023 Plan. The Amended 2023 Plan is not qualified under the provisions of Section 401(a) of the IRC and is not subject to any of the provisions of the Employee Retirement Income Security Act of 1974. Our ability to realize the benefit of any tax deductions described below depends on our generation of taxable income, as well as the requirement of reasonableness, the provisions and limitations of Section 162(m) of the IRC and the satisfaction of our tax reporting obligations.</w:t>
      </w:r>
    </w:p>
    <w:p>
      <w:pPr>
        <w:spacing w:after="0" w:line="134"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The exemption from Section 162(m)’s deduction limit for performance-based compensation has been repealed, effective for taxable years beginning after December 31, 2017, such that compensation paid to our covered executive officers in excess of $1 million will not be deductible unless it qualifies for transition relief applicable to certain performance-based compensation arrangements already in place as of November 2, 2017.</w:t>
      </w:r>
    </w:p>
    <w:p>
      <w:pPr>
        <w:spacing w:after="0" w:line="120"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Nonstatutory Stock Options. </w:t>
      </w:r>
      <w:r>
        <w:rPr>
          <w:rFonts w:ascii="Times New Roman" w:cs="Times New Roman" w:eastAsia="Times New Roman" w:hAnsi="Times New Roman"/>
          <w:sz w:val="18"/>
          <w:szCs w:val="18"/>
          <w:color w:val="auto"/>
        </w:rPr>
        <w:t>Generally, there is no taxation upon the grant of a nonstatutory stock option if the option is granted with an exercise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fair market value of the underlying stock on the grant date. On exercise, an optionholder will recognize ordinary income equal to the excess, if any, of the fair market value on the date of exercise of the stock over the exercise price. If the optionholder is employed by us or one of our affiliates, that income will be subject to withholding tax. The optionholder's tax basis in those shares will be equal to their fair market value on the date of exercise of the option, and the optionholder's capital</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ind w:right="80"/>
        <w:spacing w:after="0" w:line="266" w:lineRule="auto"/>
        <w:rPr>
          <w:sz w:val="20"/>
          <w:szCs w:val="20"/>
          <w:color w:val="auto"/>
        </w:rPr>
      </w:pPr>
      <w:r>
        <w:rPr>
          <w:rFonts w:ascii="Times New Roman" w:cs="Times New Roman" w:eastAsia="Times New Roman" w:hAnsi="Times New Roman"/>
          <w:sz w:val="18"/>
          <w:szCs w:val="18"/>
          <w:color w:val="auto"/>
        </w:rPr>
        <w:t>gain holding period for those shares will begin on that date. Subject to the requirement of reasonableness, the provisions and limitations of Section 162(m) of the IRC and the satisfaction of a tax reporting obligation, we will generally be entitled to a tax deduction equal to the taxable ordinary income realized by the optionholder.</w:t>
      </w:r>
    </w:p>
    <w:p>
      <w:pPr>
        <w:spacing w:after="0" w:line="120" w:lineRule="exact"/>
        <w:rPr>
          <w:sz w:val="20"/>
          <w:szCs w:val="20"/>
          <w:color w:val="auto"/>
        </w:rPr>
      </w:pPr>
    </w:p>
    <w:p>
      <w:pPr>
        <w:jc w:val="both"/>
        <w:ind w:right="1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Incentive Stock Options. </w:t>
      </w:r>
      <w:r>
        <w:rPr>
          <w:rFonts w:ascii="Times New Roman" w:cs="Times New Roman" w:eastAsia="Times New Roman" w:hAnsi="Times New Roman"/>
          <w:sz w:val="18"/>
          <w:szCs w:val="18"/>
          <w:color w:val="auto"/>
        </w:rPr>
        <w:t>The Amended 2023 Plan provides for the grant of stock options that are intended to qualify as "incentive stock options,"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Section 422 of the IRC. Under the IRC, an optionholder generally is not subject to ordinary income tax upon the grant or exercise of an ISO. If the optionholder holds a share received on exercise of an ISO for more than two years from the date the option was granted and more than one year from the date the option was exercised, which is referred to as the required holding period, the difference, if any, between the amount realized on a sale or other taxable disposition of that share and the holder's tax basis in that share will be a long-term capital gain or loss.</w:t>
      </w:r>
    </w:p>
    <w:p>
      <w:pPr>
        <w:spacing w:after="0" w:line="131" w:lineRule="exact"/>
        <w:rPr>
          <w:sz w:val="20"/>
          <w:szCs w:val="20"/>
          <w:color w:val="auto"/>
        </w:rPr>
      </w:pPr>
    </w:p>
    <w:p>
      <w:pPr>
        <w:ind w:firstLine="405"/>
        <w:spacing w:after="0" w:line="256" w:lineRule="auto"/>
        <w:rPr>
          <w:sz w:val="20"/>
          <w:szCs w:val="20"/>
          <w:color w:val="auto"/>
        </w:rPr>
      </w:pPr>
      <w:r>
        <w:rPr>
          <w:rFonts w:ascii="Times New Roman" w:cs="Times New Roman" w:eastAsia="Times New Roman" w:hAnsi="Times New Roman"/>
          <w:sz w:val="18"/>
          <w:szCs w:val="18"/>
          <w:color w:val="auto"/>
        </w:rPr>
        <w:t>If, however, an optionholder disposes of a share acquired on exercise of an ISO before the end of the required holding period, which is referred to as a disqualifying disposition, the optionholder generally will recognize ordinary income in the year of the disqualifying disposition equal to the excess, if any, of the fair market value of the share on the date the ISO was exercised over the exercise price. However, if the sales proceeds are less than the fair market value of the share on the date of exercise of the stock option, the amount of ordinary income recognized by the optionholder will not exceed the gain, if any, realized on the sale. If the amount realized on a disqualifying disposition exceeds the fair market value of the share on the date of exercise of the stock option, that excess will be a short-term or long-term capital gain, depending on whether the holding period for the share exceeds one year.</w:t>
      </w:r>
    </w:p>
    <w:p>
      <w:pPr>
        <w:spacing w:after="0" w:line="133" w:lineRule="exact"/>
        <w:rPr>
          <w:sz w:val="20"/>
          <w:szCs w:val="20"/>
          <w:color w:val="auto"/>
        </w:rPr>
      </w:pPr>
    </w:p>
    <w:p>
      <w:pPr>
        <w:ind w:right="140" w:firstLine="405"/>
        <w:spacing w:after="0" w:line="256"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on exercise of an ISO exceeds the exercise price of the stock option generally will be an adjustment included in the optionholder's alternative minimum taxable income for the year in which the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on exercise of an ISO is increased by the amount of the adjustment taken into account with respect to that share for alternative minimum tax purposes in the year the option is exercised.</w:t>
      </w:r>
    </w:p>
    <w:p>
      <w:pPr>
        <w:spacing w:after="0" w:line="133"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color w:val="auto"/>
        </w:rPr>
        <w:t>We are not allowed an income tax deduction with respect to the grant or exercise of an ISO or the disposition of a share acquired on exercise of an ISO after the required holding period. If there is a disqualifying disposition of a share, however, we are allowed a deduction in an amount equal to the ordinary income includable in income by the optionholder, subject to the requirement of reasonableness and the provisions and limitations of Section 162(m) of the IRC, and provided that either the employee includes that amount in income or we timely satisfy our reporting requirements with respect to that amount.</w:t>
      </w:r>
    </w:p>
    <w:p>
      <w:pPr>
        <w:spacing w:after="0" w:line="127"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Restricted Stock Awards. </w:t>
      </w:r>
      <w:r>
        <w:rPr>
          <w:rFonts w:ascii="Times New Roman" w:cs="Times New Roman" w:eastAsia="Times New Roman" w:hAnsi="Times New Roman"/>
          <w:sz w:val="18"/>
          <w:szCs w:val="18"/>
          <w:color w:val="auto"/>
        </w:rPr>
        <w:t>Generally, the recipient of a restricted stock award will recognize ordinary income at the time the stock is received equal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after his or her receipt of the stock award, to recognize ordinary income, as of the date the recipient receives the award, equal to the excess, if any, of the fair market value of the stock on the date the award is granted over any amount paid by the recipient in exchange for the stock. The recipient's basis for the determination of gain or loss upon the subsequent disposition of shares acquired from stock awards will be the amount paid for such shares plus any ordinary income recognized either when the stock is received or when the stock becomes vested. Subject to the requirement of reasonableness, the provisions and limitations of Section 162(m) and the satisfaction of a tax reporting obligation, we will generally be entitled to a tax deduction equal to the taxable ordinary income realized by the recipient of the stock award.</w:t>
      </w:r>
    </w:p>
    <w:p>
      <w:pPr>
        <w:spacing w:after="0" w:line="138" w:lineRule="exact"/>
        <w:rPr>
          <w:sz w:val="20"/>
          <w:szCs w:val="20"/>
          <w:color w:val="auto"/>
        </w:rPr>
      </w:pPr>
    </w:p>
    <w:p>
      <w:pPr>
        <w:ind w:right="220" w:firstLine="40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Appreciation Rights. </w:t>
      </w:r>
      <w:r>
        <w:rPr>
          <w:rFonts w:ascii="Times New Roman" w:cs="Times New Roman" w:eastAsia="Times New Roman" w:hAnsi="Times New Roman"/>
          <w:sz w:val="18"/>
          <w:szCs w:val="18"/>
          <w:color w:val="auto"/>
        </w:rPr>
        <w:t>Generally, if a stock appreciation right is granted with an exercise price equal to the fair market value of the underlying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on the date of grant, the recipient will recognize ordinary income equal to the fair market value of stock or cash received upon such exercise. If the recipient is employed by us or one of our affiliates, that income will be subject to withholding taxes. Subject to the requirement of reasonableness, the provisions and limitations of Section 162(m) of the IRC and the satisfaction of a tax reporting obligation, we will generally be entitled to an income tax deduction equal to the amount of ordinary income realized by the recipient of the stock appreciation right.</w:t>
      </w:r>
    </w:p>
    <w:p>
      <w:pPr>
        <w:spacing w:after="0" w:line="129" w:lineRule="exact"/>
        <w:rPr>
          <w:sz w:val="20"/>
          <w:szCs w:val="20"/>
          <w:color w:val="auto"/>
        </w:rPr>
      </w:pPr>
    </w:p>
    <w:p>
      <w:pPr>
        <w:ind w:right="100" w:firstLine="405"/>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Generally, the recipient of a restricted stock unit award structured to conform to the requirements of Section 409A of the IRC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 an exception to Section 409A of the IRC will recognize ordinary income at the time the shares are delivered to the participant in an amount equal to the excess, if any, of the fair market value of the shares received over any amount paid by the recipient in exchange for the shares. If a restricted stock unit award is subject to Section 409A of the IRC, the shares subject to a restricted stock unit award may generally only be delivered upon one of the following events: a fixed calendar date (or dates), separation from service, death, disability, or a change in control. If delivery occurs on another date, unless the restricted stock unit awards otherwise comply with or qualify for an exception to the requirements of Section 409A of the IRC, in addition to the tax</w:t>
      </w: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7" w:name="page28"/>
    <w:bookmarkEnd w:id="27"/>
    <w:p>
      <w:pPr>
        <w:ind w:right="120"/>
        <w:spacing w:after="0" w:line="258" w:lineRule="auto"/>
        <w:rPr>
          <w:sz w:val="20"/>
          <w:szCs w:val="20"/>
          <w:color w:val="auto"/>
        </w:rPr>
      </w:pPr>
      <w:r>
        <w:rPr>
          <w:rFonts w:ascii="Times New Roman" w:cs="Times New Roman" w:eastAsia="Times New Roman" w:hAnsi="Times New Roman"/>
          <w:sz w:val="18"/>
          <w:szCs w:val="18"/>
          <w:color w:val="auto"/>
        </w:rPr>
        <w:t>treatment described above, the recipient will owe an additional 20% federal tax and interest on any taxes owed. The recipient's basis for the determination of gain or loss upon the subsequent disposition of shares acquired from a restricted stock unit award will be the amount paid, if any, for shares plus any ordinary income recognized when the stock is delivered. Subject to the requirement of reasonableness, the provisions and limitations of Section 162(m) of the IRC and the satisfaction of a tax reporting obligation, we will generally be entitled to an income tax deduction equal to the amount of ordinary income realized by the participant.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75"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Awards under the Amended 2023 Plan are discretionary. Accordingly, total awards that may be granted under the Amended 2023 Plan are not determinable. We have made certain grants to our employees and to certain executive officers, as discussed below under "Executive Compensation" and we may make additional grants to certain of our executive officers later this year as well as to our non-employee directors under our director compensation program described above under "Director Compensation." However, we cannot currently determine the total amount of benefits or number of shares subject to equity awards that may be granted in the future to executive officers, directors and employees under the Amended 2023 Plan.</w:t>
      </w:r>
    </w:p>
    <w:p>
      <w:pPr>
        <w:spacing w:after="0" w:line="129" w:lineRule="exact"/>
        <w:rPr>
          <w:sz w:val="20"/>
          <w:szCs w:val="20"/>
          <w:color w:val="auto"/>
        </w:rPr>
      </w:pPr>
    </w:p>
    <w:p>
      <w:pPr>
        <w:ind w:right="28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shows, for each of the named executive officers and the various groups indicated below, the total number of shares of our common stock subject to equity awards that have been granted (even if not currently outstanding) under the 2023 Plan since it became effective through December 31, 2025: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340" w:type="dxa"/>
            <w:vAlign w:val="bottom"/>
            <w:tcBorders>
              <w:bottom w:val="single" w:sz="8" w:color="CCEEFF"/>
            </w:tcBorders>
          </w:tcPr>
          <w:p>
            <w:pPr>
              <w:spacing w:after="0"/>
              <w:rPr>
                <w:sz w:val="20"/>
                <w:szCs w:val="20"/>
                <w:color w:val="auto"/>
              </w:rPr>
            </w:pPr>
          </w:p>
        </w:tc>
        <w:tc>
          <w:tcPr>
            <w:tcW w:w="22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Number of shares (#)</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813,500</w:t>
            </w:r>
          </w:p>
        </w:tc>
      </w:tr>
      <w:tr>
        <w:trPr>
          <w:trHeight w:val="230"/>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President, Chief Executive Officer and Director (1)</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Koenig, M.D., Ph.D.</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343,000</w:t>
            </w:r>
          </w:p>
        </w:tc>
      </w:tr>
      <w:tr>
        <w:trPr>
          <w:trHeight w:val="234"/>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Former Chief Executive Officer and current Director (2)</w:t>
            </w: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272,500</w:t>
            </w:r>
          </w:p>
        </w:tc>
      </w:tr>
      <w:tr>
        <w:trPr>
          <w:trHeight w:val="229"/>
        </w:trPr>
        <w:tc>
          <w:tcPr>
            <w:tcW w:w="8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Senior Vice President, Research and Chief Scientific Officer</w:t>
            </w:r>
          </w:p>
        </w:tc>
        <w:tc>
          <w:tcPr>
            <w:tcW w:w="34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r>
      <w:tr>
        <w:trPr>
          <w:trHeight w:val="225"/>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242,000</w:t>
            </w:r>
          </w:p>
        </w:tc>
      </w:tr>
      <w:tr>
        <w:trPr>
          <w:trHeight w:val="234"/>
        </w:trPr>
        <w:tc>
          <w:tcPr>
            <w:tcW w:w="8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34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executive officers as a group (6 persons)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1,926,900</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current non-employee directors as a group (10 persons)</w:t>
            </w:r>
          </w:p>
        </w:tc>
        <w:tc>
          <w:tcPr>
            <w:tcW w:w="2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1,160,373</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current employees, excluding all current executive officers, as a group (283 persons)</w:t>
            </w:r>
          </w:p>
        </w:tc>
        <w:tc>
          <w:tcPr>
            <w:tcW w:w="2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2,478,800</w:t>
            </w:r>
          </w:p>
        </w:tc>
      </w:tr>
    </w:tbl>
    <w:p>
      <w:pPr>
        <w:spacing w:after="0" w:line="319" w:lineRule="exact"/>
        <w:rPr>
          <w:sz w:val="20"/>
          <w:szCs w:val="20"/>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Risser was promoted to President and Chief Executive Officer effective August 13, 2025.</w:t>
      </w:r>
    </w:p>
    <w:p>
      <w:pPr>
        <w:spacing w:after="0" w:line="117" w:lineRule="exact"/>
        <w:rPr>
          <w:rFonts w:ascii="Times New Roman" w:cs="Times New Roman" w:eastAsia="Times New Roman" w:hAnsi="Times New Roman"/>
          <w:sz w:val="18"/>
          <w:szCs w:val="18"/>
          <w:color w:val="auto"/>
        </w:rPr>
      </w:pPr>
    </w:p>
    <w:p>
      <w:pPr>
        <w:ind w:right="340" w:firstLine="8"/>
        <w:spacing w:after="0" w:line="282" w:lineRule="auto"/>
        <w:tabs>
          <w:tab w:leader="none" w:pos="2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 served as President and Chief Executive Officer until August 13, 2025. The shares shown here are also included in the "All current non-employee directors as a group" line below as he was a non-employee director at December 31, 2025.</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Policies</w:t>
      </w:r>
    </w:p>
    <w:p>
      <w:pPr>
        <w:spacing w:after="0" w:line="229" w:lineRule="exact"/>
        <w:rPr>
          <w:sz w:val="20"/>
          <w:szCs w:val="20"/>
          <w:color w:val="auto"/>
        </w:rPr>
      </w:pPr>
    </w:p>
    <w:p>
      <w:pPr>
        <w:ind w:firstLine="445"/>
        <w:spacing w:after="0" w:line="256" w:lineRule="auto"/>
        <w:rPr>
          <w:sz w:val="20"/>
          <w:szCs w:val="20"/>
          <w:color w:val="auto"/>
        </w:rPr>
      </w:pPr>
      <w:r>
        <w:rPr>
          <w:rFonts w:ascii="Times New Roman" w:cs="Times New Roman" w:eastAsia="Times New Roman" w:hAnsi="Times New Roman"/>
          <w:sz w:val="18"/>
          <w:szCs w:val="18"/>
          <w:color w:val="auto"/>
        </w:rPr>
        <w:t>The Board is guided by our Corporate Governance Guidelines, which provide a framework for the governance of the Company and the responsibilities of the Board. The Corporate Governance Guidelines address director qualifications, director access to management and independent advisors and Board responsibilities, as well as the annual performance evaluations of the Board and its standing Committees. In addition, the Company seeks to conduct business ethically and in compliance with applicable laws and regulations. The Company’s Code of Business Conduct and Ethics (the “Code”) sets forth the principles that guide the Company’s business practices. The Code applies to all our employees, officers and directors, including those officers responsible for financial reporting and is included as required training on an annual basis.</w:t>
      </w:r>
    </w:p>
    <w:p>
      <w:pPr>
        <w:spacing w:after="0" w:line="187" w:lineRule="exact"/>
        <w:rPr>
          <w:sz w:val="20"/>
          <w:szCs w:val="20"/>
          <w:color w:val="auto"/>
        </w:rPr>
      </w:pPr>
    </w:p>
    <w:p>
      <w:pPr>
        <w:ind w:right="700" w:firstLine="445"/>
        <w:spacing w:after="0" w:line="266" w:lineRule="auto"/>
        <w:rPr>
          <w:sz w:val="20"/>
          <w:szCs w:val="20"/>
          <w:color w:val="auto"/>
        </w:rPr>
      </w:pPr>
      <w:r>
        <w:rPr>
          <w:rFonts w:ascii="Times New Roman" w:cs="Times New Roman" w:eastAsia="Times New Roman" w:hAnsi="Times New Roman"/>
          <w:sz w:val="18"/>
          <w:szCs w:val="18"/>
          <w:color w:val="auto"/>
        </w:rPr>
        <w:t>The Corporate Governance Guidelines and Code are available under the Corporate Governance section of our website at http://ir.macrogenics.com/governance. We expect that any amendments to the Corporate Governance Guidelines or the Code, or any waivers of its requirements, will be disclosed on our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ind w:right="360" w:firstLine="445"/>
        <w:spacing w:after="0" w:line="261" w:lineRule="auto"/>
        <w:rPr>
          <w:sz w:val="20"/>
          <w:szCs w:val="20"/>
          <w:color w:val="auto"/>
        </w:rPr>
      </w:pPr>
      <w:r>
        <w:rPr>
          <w:rFonts w:ascii="Times New Roman" w:cs="Times New Roman" w:eastAsia="Times New Roman" w:hAnsi="Times New Roman"/>
          <w:sz w:val="18"/>
          <w:szCs w:val="18"/>
          <w:color w:val="auto"/>
        </w:rPr>
        <w:t>As required under rules and regulations of Nasdaq, a majority of the members of our Board must qualify as “independent,” as affirmatively determined by the Board. The Board consults with the Company’s counsel to ensure that the Board’s determinations are consistent with all relevant securities and other laws and regulations regarding the definition of “independent,” including those set forth in pertinent Nasdaq listing standards, as in effect from time to time.</w:t>
      </w:r>
    </w:p>
    <w:p>
      <w:pPr>
        <w:spacing w:after="0" w:line="18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Nasdaq independence definition includes a series of objective tests, such as that the director is not, and has not been for at least three years, one of our employees and that neither the director nor any of his/her family members has engaged in various types of business dealings with us. In addition, as required by Nasdaq rules, our Board has evaluated, with respect to each of our directors, whether any relationships exist, which, in the opinion of our Board, would interfere with the exercise of independent judgment in carrying out the responsibilities of a director. Consistent with these considerations, our Board has determined that all of our directors, other than Dr. Koenig and Mr. Risser, qualify as “independent” directors in accordance with the Nasdaq listing requirements. Dr. Koenig is not considered independent because of his previous employment as MacroGenics' Chief Executive Officer. Mr. Risser is not considered independent because of his current employment as MacroGenics' Chief Executive Officer. In making these determinations, our Board reviewed and discussed information provided by the directors and us with regard to each director’s business and personal activities and relationships as they may relate to us and our management. There are no family relationships among any of our directors or executive officers.</w:t>
      </w:r>
    </w:p>
    <w:p>
      <w:pPr>
        <w:spacing w:after="0" w:line="188" w:lineRule="exact"/>
        <w:rPr>
          <w:sz w:val="20"/>
          <w:szCs w:val="20"/>
          <w:color w:val="auto"/>
        </w:rPr>
      </w:pPr>
    </w:p>
    <w:p>
      <w:pPr>
        <w:jc w:val="both"/>
        <w:ind w:right="40" w:firstLine="445"/>
        <w:spacing w:after="0" w:line="266" w:lineRule="auto"/>
        <w:rPr>
          <w:sz w:val="20"/>
          <w:szCs w:val="20"/>
          <w:color w:val="auto"/>
        </w:rPr>
      </w:pPr>
      <w:r>
        <w:rPr>
          <w:rFonts w:ascii="Times New Roman" w:cs="Times New Roman" w:eastAsia="Times New Roman" w:hAnsi="Times New Roman"/>
          <w:sz w:val="18"/>
          <w:szCs w:val="18"/>
          <w:color w:val="auto"/>
        </w:rPr>
        <w:t>As required under Nasdaq rules and regulations, our independent directors meet in regularly scheduled executive sessions at which only independent directors are present. All of the committees of our Board are comprised entirely of directors determined by the Board to be independent within the meaning of Nasdaq rules and regulations.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Leadership Structure of the Board</w:t>
      </w:r>
    </w:p>
    <w:p>
      <w:pPr>
        <w:spacing w:after="0" w:line="256"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We regularly review the Board leadership structure. We believe the current leadership structure of the Board, in which the roles of Chair of the Board and Chief Executive Officer are separated, best serves overall corporate structure and the Board’s ability to carry out its roles and responsibilities on behalf of our stockholders, including its oversight of management and corporate governance matters. We also believe that the current structure allows our Chief Executive Officer to focus on managing the Company, while leveraging our independent Chair’s experience to drive accountability at the Board level. The Board does not have a policy regarding whether the roles of Chief Executive Officer and Chair of the Board should be separate and, if they are to be separate, whether the Chair of the Board should be a non-employee director. If the Chair of the Board is an employee director, then the Board will elect a Lead Director from among the independent directors.</w:t>
      </w:r>
    </w:p>
    <w:p>
      <w:pPr>
        <w:spacing w:after="0" w:line="189" w:lineRule="exact"/>
        <w:rPr>
          <w:sz w:val="20"/>
          <w:szCs w:val="20"/>
          <w:color w:val="auto"/>
        </w:rPr>
      </w:pPr>
    </w:p>
    <w:p>
      <w:pPr>
        <w:ind w:right="60" w:firstLine="445"/>
        <w:spacing w:after="0" w:line="255" w:lineRule="auto"/>
        <w:rPr>
          <w:sz w:val="20"/>
          <w:szCs w:val="20"/>
          <w:color w:val="auto"/>
        </w:rPr>
      </w:pPr>
      <w:r>
        <w:rPr>
          <w:rFonts w:ascii="Times New Roman" w:cs="Times New Roman" w:eastAsia="Times New Roman" w:hAnsi="Times New Roman"/>
          <w:sz w:val="18"/>
          <w:szCs w:val="18"/>
          <w:color w:val="auto"/>
        </w:rPr>
        <w:t>As of the date of this proxy statement, Mr. Heiden, a non-employee director, serves as the Chair of the Board and Mr. Risser serves as a director and Chief Executive Officer of the Company. The Board will continue to periodically review our leadership structure and may make such changes in the future as it deems appropriate and in the best interests of the Company and its stockholders. However, the Board believes that separation of the roles of Chief Executive Officer and Chair of the Board is currently the most appropriate structure for the Company because this structure is consistent with best corporate governance practices. In addition, our Board believes this structure creates an environment in which there are candid disclosures by management to the Board about the Company’s performance and a culture in which directors can regularly engage management and each other in active and meaningful discussions about various corporate matters.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Role of Board in Risk Oversight Process</w:t>
      </w:r>
    </w:p>
    <w:p>
      <w:pPr>
        <w:spacing w:after="0" w:line="229" w:lineRule="exact"/>
        <w:rPr>
          <w:sz w:val="20"/>
          <w:szCs w:val="20"/>
          <w:color w:val="auto"/>
        </w:rPr>
      </w:pPr>
    </w:p>
    <w:p>
      <w:pPr>
        <w:ind w:right="60" w:firstLine="445"/>
        <w:spacing w:after="0" w:line="256"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discussion and analysis of the risks facing us.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187" w:lineRule="exact"/>
        <w:rPr>
          <w:sz w:val="20"/>
          <w:szCs w:val="20"/>
          <w:color w:val="auto"/>
        </w:rPr>
      </w:pPr>
    </w:p>
    <w:p>
      <w:pPr>
        <w:ind w:right="220" w:firstLine="445"/>
        <w:spacing w:after="0" w:line="254" w:lineRule="auto"/>
        <w:rPr>
          <w:sz w:val="20"/>
          <w:szCs w:val="20"/>
          <w:color w:val="auto"/>
        </w:rPr>
      </w:pPr>
      <w:r>
        <w:rPr>
          <w:rFonts w:ascii="Times New Roman" w:cs="Times New Roman" w:eastAsia="Times New Roman" w:hAnsi="Times New Roman"/>
          <w:sz w:val="18"/>
          <w:szCs w:val="18"/>
          <w:color w:val="auto"/>
        </w:rPr>
        <w:t>Our Board does not have a standing risk management committee, but rather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overseeing our major financial risk exposures and the steps our management has taken to monitor and control these exposures, including cyber-security. The Audit Committee also monitors compliance with legal and regulatory requirements and considers and, if appropriate, approves any related-person transactions. Our Nominating and Corporate Governance Committee monitors the effectiveness of our corporate governance as well as risks related to our environmental, social and governance strategy and disclosures. Our Human Capital Management Committee assesses and monitors whether any of our compensation policies and programs has the potential to encourage excessive risk-taking.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Composition and Diversity</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Corporate Governance Guidelines include an affirmation that the Board believes that a diverse membership with varying perspectives and breadth of experience is an important attribute of a well-functioning Board. The Corporate Governance Guidelines include the requirement that the Nominating and Corporate Governance Committee shall regularly consider the diversity makeup of the Board, and may consider such factors as differences of viewpoint, professional experience, education, skill and other individual qualities and attributes that contribute to board heterogeneity, including characteristics such as race, gender and national origin. In addition, in considering new candidates for the Board, efforts shall be made to identify directors who can add to the diversity of the Board, considering a variety of factors including age, gender, sexual orientation, and racial or ethnic makeup. The Board presently has four directors who self-identify as female and has two directors who self-identify as an underrepresented minority.</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40" w:firstLine="445"/>
        <w:spacing w:after="0" w:line="255" w:lineRule="auto"/>
        <w:rPr>
          <w:sz w:val="20"/>
          <w:szCs w:val="20"/>
          <w:color w:val="auto"/>
        </w:rPr>
      </w:pPr>
      <w:r>
        <w:rPr>
          <w:rFonts w:ascii="Times New Roman" w:cs="Times New Roman" w:eastAsia="Times New Roman" w:hAnsi="Times New Roman"/>
          <w:sz w:val="18"/>
          <w:szCs w:val="18"/>
          <w:color w:val="auto"/>
        </w:rPr>
        <w:t>Our Audit Committee oversees the accounting and financial reporting processes of the Company and audits of the Company’s financial statements. The primary function of the Audit Committee is to provide assistance to the Board in fulfilling its responsibilities relating to corporate accounting and auditing, reporting practices of the Company, the quality and integrity of the financial reports of the Company, the Company’s systems of internal controls regarding finance, accounting, legal compliance, ethics and cyber-security that management and the Board have established, the performance of the Company’s internal audit function, if any, and the registered public accounting firm ("independent auditor"), and the qualifications and independence of the Company’s independent auditor. The Audit Committee also maintains a free and open means of communication between directors, the independent auditor, the internal auditor, if any, and the management of the Company.</w:t>
      </w:r>
    </w:p>
    <w:p>
      <w:pPr>
        <w:spacing w:after="0" w:line="189" w:lineRule="exact"/>
        <w:rPr>
          <w:sz w:val="20"/>
          <w:szCs w:val="20"/>
          <w:color w:val="auto"/>
        </w:rPr>
      </w:pPr>
    </w:p>
    <w:p>
      <w:pPr>
        <w:ind w:right="80" w:firstLine="445"/>
        <w:spacing w:after="0" w:line="272" w:lineRule="auto"/>
        <w:rPr>
          <w:sz w:val="20"/>
          <w:szCs w:val="20"/>
          <w:color w:val="auto"/>
        </w:rPr>
      </w:pPr>
      <w:r>
        <w:rPr>
          <w:rFonts w:ascii="Times New Roman" w:cs="Times New Roman" w:eastAsia="Times New Roman" w:hAnsi="Times New Roman"/>
          <w:sz w:val="17"/>
          <w:szCs w:val="17"/>
          <w:color w:val="auto"/>
        </w:rPr>
        <w:t>The current members of our Audit Committee are Meenu Chhabra Karson, William Heiden, Scott Jackson and Federica O'Brien. Ms. O'Brien serves as the chair of the Audit Committee. All current members of our Audit Committee meet the requirements for financial literacy under the applicable rules and regulations of the SEC and Nasdaq. Our Board has determined for 2025 that each of Ms. O'Brien, Ms. Chhabra Karson and Mr. Heiden qualifies as an “audit committee financial expert” as defined under the applicable rules of the SEC and has the requisite financial sophistication as defined under the applicable rules and regulations of Nasdaq. Our Board has determined for 2025 that each of the members of the Audit Committee are independent under the applicable rules of Nasdaq and under the applicable rules of the SEC, in particular, Rule 10A-3 of the Exchange Act. The Audit Committee operates under a written charter that satisfies the applicable standards of the SEC and Nasdaq and the committee reviews compliance with its charter annually. A copy of the Audit Committee charter is available on the Corporate Governance section of the Company’s website at http://ir.macrogenics.com/governance.</w:t>
      </w:r>
    </w:p>
    <w:p>
      <w:pPr>
        <w:spacing w:after="0" w:line="1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Human Capital Management Committee</w:t>
      </w:r>
    </w:p>
    <w:p>
      <w:pPr>
        <w:spacing w:after="0" w:line="256" w:lineRule="exact"/>
        <w:rPr>
          <w:sz w:val="20"/>
          <w:szCs w:val="20"/>
          <w:color w:val="auto"/>
        </w:rPr>
      </w:pPr>
    </w:p>
    <w:p>
      <w:pPr>
        <w:ind w:right="100" w:firstLine="445"/>
        <w:spacing w:after="0" w:line="256" w:lineRule="auto"/>
        <w:rPr>
          <w:sz w:val="20"/>
          <w:szCs w:val="20"/>
          <w:color w:val="auto"/>
        </w:rPr>
      </w:pPr>
      <w:r>
        <w:rPr>
          <w:rFonts w:ascii="Times New Roman" w:cs="Times New Roman" w:eastAsia="Times New Roman" w:hAnsi="Times New Roman"/>
          <w:sz w:val="18"/>
          <w:szCs w:val="18"/>
          <w:color w:val="auto"/>
        </w:rPr>
        <w:t>Our Human Capital Management Committee reviews and evaluates our compensation philosophy for executive officers. The Human Capital Management Committee also reviews and approves both corporate and individual goals and objectives relevant to compensation of our Chief Executive Officer, evaluates the performance of the Chief Executive Officer in light of those goals and objectives and determines and approves his compensation based on such evaluations. In addition, the Human Capital Management Committee determines and approves the compensation for all of the Company’s executive officers, and oversees equity grants to Mr. Risser, our Chief Executive Officer, and other awards to employees other than executive officers. The Human Capital Management</w:t>
      </w:r>
    </w:p>
    <w:p>
      <w:pPr>
        <w:sectPr>
          <w:pgSz w:w="11900" w:h="16838" w:orient="portrait"/>
          <w:cols w:equalWidth="0" w:num="1">
            <w:col w:w="11240"/>
          </w:cols>
          <w:pgMar w:left="320" w:top="98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0" w:name="page31"/>
    <w:bookmarkEnd w:id="30"/>
    <w:p>
      <w:pPr>
        <w:ind w:right="40"/>
        <w:spacing w:after="0" w:line="266" w:lineRule="auto"/>
        <w:rPr>
          <w:sz w:val="20"/>
          <w:szCs w:val="20"/>
          <w:color w:val="auto"/>
        </w:rPr>
      </w:pPr>
      <w:r>
        <w:rPr>
          <w:rFonts w:ascii="Times New Roman" w:cs="Times New Roman" w:eastAsia="Times New Roman" w:hAnsi="Times New Roman"/>
          <w:sz w:val="18"/>
          <w:szCs w:val="18"/>
          <w:color w:val="auto"/>
        </w:rPr>
        <w:t>Committee also reviews director compensation at least annually, including retainers for committee service, and recommends any changes to the Board. The Human Capital Management Committee also has the authority to delegate any of its responsibilities, along with the authority to take action in relation to such responsibilities, to one or more subcommittees as the Human Capital Management Committee may deem appropriate in its sole discretion.</w:t>
      </w:r>
    </w:p>
    <w:p>
      <w:pPr>
        <w:spacing w:after="0" w:line="176" w:lineRule="exact"/>
        <w:rPr>
          <w:sz w:val="20"/>
          <w:szCs w:val="20"/>
          <w:color w:val="auto"/>
        </w:rPr>
      </w:pPr>
    </w:p>
    <w:p>
      <w:pPr>
        <w:ind w:firstLine="445"/>
        <w:spacing w:after="0" w:line="255" w:lineRule="auto"/>
        <w:rPr>
          <w:sz w:val="20"/>
          <w:szCs w:val="20"/>
          <w:color w:val="auto"/>
        </w:rPr>
      </w:pPr>
      <w:r>
        <w:rPr>
          <w:rFonts w:ascii="Times New Roman" w:cs="Times New Roman" w:eastAsia="Times New Roman" w:hAnsi="Times New Roman"/>
          <w:sz w:val="18"/>
          <w:szCs w:val="18"/>
          <w:color w:val="auto"/>
        </w:rPr>
        <w:t>The current members of our Human Capital Management Committee are Meenu Chhabra Karson, William Heiden, Federica O'Brien, and Jay Siegel, M.D. Ms. Chhabra Karson serves as the chair of the Human Capital Management Committee. Each of the members of our Human Capital Management Committee is independent under the applicable rules and regulations of Nasdaq, and under the applicable rules of the SEC, in particular, Rule 10C-1 under the Exchange Act, is a “non-employee director” as defined in Rule 16b-3 promulgated under the Exchange Act, and is an “outside director” as that term is defined in Section 162(m) of the IRC. The Human Capital Management Committee operates under a written charter and the committee reviews compliance with its charter annually. A copy of the Human Capital Management Committee charter is available on the Corporate Governance section of the Company’s website at http://ir.macrogenics.com/governance.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229"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Our Nominating and Corporate Governance Committee is responsible for making recommendations to our Board regarding candidates for directorships and the size and composition of our Board. In addition, the Nominating and Corporate Governance Committee is responsible for overseeing our corporate governance policies and reporting, oversight over executive succession planning, oversight over our ESG strategy, initiatives, policies and disclosures, and making recommendations to our Board concerning governance matters, including, on an annual basis, director independence.</w:t>
      </w:r>
    </w:p>
    <w:p>
      <w:pPr>
        <w:spacing w:after="0" w:line="180"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current members of our Nominating and Corporate Governance Committee are Karen Ferrante, M.D., Edward Hurwitz, Margaret Liu, M.D., and David Stump, M.D. Dr. Stump currently serves as the chair of the Nominating and Corporate Governance Committee. Each of the members of our Nominating and Corporate Governance Committee is an independent director under the applicable rules and regulations of Nasdaq. The Nominating and Corporate Governance Committee operates under a written charter and the committee reviews compliance with its charter annually. A copy of the Nominating and Corporate Governance Committee charter is available on the Corporate Governance section of the Company’s website at http://ir.macrogenics.com/governance.</w:t>
      </w:r>
    </w:p>
    <w:p>
      <w:pPr>
        <w:spacing w:after="0" w:line="187"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In recommending candidates for election to the Board at the Annual Meeting of Stockholders, or any special meeting of stockholders, the independent members of the Nominating and Corporate Governance Committee may consider such factors as personal and professional integrity, ethics and values, experience in corporate management, experience in the industries in which we compete, experience as a board member or executive officer of another publicly held company, diversity of expertise and experience in substantive matters pertaining to our business relative to other Board members, conflicts of interest, practical and mature business judgment, past attendance at meetings, participation in and contributions to the activities of the Board, the results of the most recent Board self-evaluation and any other areas as may be expected to contribute to an effective Board. The Board believes that having a diverse mix of directors with complementary qualifications, expertise, and attributes is essential to meeting its oversight responsibility and is an important attribute of a well-functioning Board. For information on our diversity policy, see “Board Composition and Diversity.”</w:t>
      </w:r>
    </w:p>
    <w:p>
      <w:pPr>
        <w:spacing w:after="0" w:line="192" w:lineRule="exact"/>
        <w:rPr>
          <w:sz w:val="20"/>
          <w:szCs w:val="20"/>
          <w:color w:val="auto"/>
        </w:rPr>
      </w:pPr>
    </w:p>
    <w:p>
      <w:pPr>
        <w:ind w:right="180" w:firstLine="445"/>
        <w:spacing w:after="0" w:line="266" w:lineRule="auto"/>
        <w:rPr>
          <w:sz w:val="20"/>
          <w:szCs w:val="20"/>
          <w:color w:val="auto"/>
        </w:rPr>
      </w:pPr>
      <w:r>
        <w:rPr>
          <w:rFonts w:ascii="Times New Roman" w:cs="Times New Roman" w:eastAsia="Times New Roman" w:hAnsi="Times New Roman"/>
          <w:sz w:val="18"/>
          <w:szCs w:val="18"/>
          <w:color w:val="auto"/>
        </w:rPr>
        <w:t>The Board evaluates each individual in the context of the Board as a whole, with the objective of assembling a group of directors that can best maximize the success of the business and represent stockholder interests through the exercise of sound judgment using its diversity of experience in these various areas.</w:t>
      </w:r>
    </w:p>
    <w:p>
      <w:pPr>
        <w:spacing w:after="0" w:line="176"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For a stockholder to make any nomination for election to the Board at an Annual Meeting, the stockholder must provide notice to the Company in a timely manner. See “When are stockholder proposals or director nominations due for next year’s Annual Meeting of Stockholders?” for additional information. Our by-laws specify requirements as to the form and content of a stockholder’s notice and updates and supplements to such notice. We recommend that any stockholder wishing to make a nomination for director review a copy of our by-laws, which is available, without charge, from our Corporate Secretary, at 9704 Medical Center Drive, Rockville, Maryland 20850.</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Science and Technology Committee</w:t>
      </w:r>
    </w:p>
    <w:p>
      <w:pPr>
        <w:spacing w:after="0" w:line="229" w:lineRule="exact"/>
        <w:rPr>
          <w:sz w:val="20"/>
          <w:szCs w:val="20"/>
          <w:color w:val="auto"/>
        </w:rPr>
      </w:pPr>
    </w:p>
    <w:p>
      <w:pPr>
        <w:ind w:right="200" w:firstLine="445"/>
        <w:spacing w:after="0" w:line="258" w:lineRule="auto"/>
        <w:rPr>
          <w:sz w:val="20"/>
          <w:szCs w:val="20"/>
          <w:color w:val="auto"/>
        </w:rPr>
      </w:pPr>
      <w:r>
        <w:rPr>
          <w:rFonts w:ascii="Times New Roman" w:cs="Times New Roman" w:eastAsia="Times New Roman" w:hAnsi="Times New Roman"/>
          <w:sz w:val="18"/>
          <w:szCs w:val="18"/>
          <w:color w:val="auto"/>
        </w:rPr>
        <w:t>Our Science and Technology Committee assists the Board in facilitating oversight of the Company’s scientific strategic direction and investment in research and development and technology (“R&amp;D”). The Committee regularly reviews and evaluates the Company’s R&amp;D pipeline and provides assistance, as requested, to the Human Capital Management Committee in setting performance goals under the Company’s incentive compensation program and reviewing performance results. In addition, the Committee identifies and provides the Board with strategic advice on significant emerging science and technology issues, innovations and trends.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1" w:name="page32"/>
    <w:bookmarkEnd w:id="31"/>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The current members of our Science and Technology Committee are Karen Ferrante, M.D., Edward Hurwitz, Margaret Liu, M.D., Jay Siegel, M.D. and David Stump, M.D. Dr. Siegel serves as the chair of the Committee. Each of the members of our Science and Technology Committee is an independent director under the applicable rules and regulations of Nasdaq. The Science and Technology Committee operates under a written charter and the committee reviews compliance with its charter annually. A copy of the Science and Technology Committee charter is available on the Corporate Governance section of the Company’s website at http://ir.macrogenics.com/governance.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Board and Committee Member Attendance and Annual Meeting Attendance</w:t>
      </w:r>
    </w:p>
    <w:p>
      <w:pPr>
        <w:spacing w:after="0" w:line="2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Our Board met seven times in 2025. The Science and Technology Committee and the Nominating and Corporate Governance Committee each met four times, the Audit Committee met five times, and the Human Capital Management Committee met six times. During 2025, all then current Board members attended 75% or more of the aggregate of the total number of meetings of the Board and of the committees on which they served during the period of such director's service. In addition, we encourage all of our directors and nominees for director to attend our Annual Meeting of Stockholders, but attendance is not mandatory. In 2025, all of our directors attended the Annual Meeting of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29"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Should stockholders wish to communicate with the Board or any specified individual directors, such correspondence should be sent to the attention of the Corporate Secretary at 9704 Medical Center Drive, Rockville, Maryland 20850. The Corporate Secretary will forward the communication to the Board members.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Management Committee Interlocks and Insider Participation</w:t>
      </w:r>
    </w:p>
    <w:p>
      <w:pPr>
        <w:spacing w:after="0" w:line="22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following directors served on the Human Capital Management Committee during 2025: William Heiden, Meenu Chhabra Karson, Federica O'Brien, and Jay Siegel, M.D. None of the members of our Human Capital Management Committee has at any time been one of our officers or employees or has had any relationship requiring disclosure under Item 404 of Regulations S-K. None of our executive officers currently serves, or in the past fiscal year has served, as a member of the Board of Directors or compensation committee of any entity that has one or more executive officers on our Board or Human Capital Management Committee.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Social and Governance Practices</w:t>
      </w:r>
    </w:p>
    <w:p>
      <w:pPr>
        <w:spacing w:after="0" w:line="229" w:lineRule="exact"/>
        <w:rPr>
          <w:sz w:val="20"/>
          <w:szCs w:val="20"/>
          <w:color w:val="auto"/>
        </w:rPr>
      </w:pPr>
    </w:p>
    <w:p>
      <w:pPr>
        <w:ind w:right="140" w:firstLine="405"/>
        <w:spacing w:after="0" w:line="289" w:lineRule="auto"/>
        <w:rPr>
          <w:sz w:val="20"/>
          <w:szCs w:val="20"/>
          <w:color w:val="auto"/>
        </w:rPr>
      </w:pPr>
      <w:r>
        <w:rPr>
          <w:rFonts w:ascii="Times New Roman" w:cs="Times New Roman" w:eastAsia="Times New Roman" w:hAnsi="Times New Roman"/>
          <w:sz w:val="17"/>
          <w:szCs w:val="17"/>
          <w:color w:val="auto"/>
        </w:rPr>
        <w:t>We are committed to operating responsibly for the benefit of our employees, clinical trial participants, patients, partners, investors, the environment, and the communities in which we live and work. Our approach to corporate responsibility is integrated into how we operate, with Board-level oversight through the Nominating and Corporate Governance Committee and executive leadership coordinating our initiatives across the organization.</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Ethical Research and Development</w:t>
      </w:r>
    </w:p>
    <w:p>
      <w:pPr>
        <w:spacing w:after="0" w:line="256" w:lineRule="exact"/>
        <w:rPr>
          <w:sz w:val="20"/>
          <w:szCs w:val="20"/>
          <w:color w:val="auto"/>
        </w:rPr>
      </w:pPr>
    </w:p>
    <w:p>
      <w:pPr>
        <w:ind w:firstLine="405"/>
        <w:spacing w:after="0" w:line="253" w:lineRule="auto"/>
        <w:rPr>
          <w:sz w:val="20"/>
          <w:szCs w:val="20"/>
          <w:color w:val="auto"/>
        </w:rPr>
      </w:pPr>
      <w:r>
        <w:rPr>
          <w:rFonts w:ascii="Times New Roman" w:cs="Times New Roman" w:eastAsia="Times New Roman" w:hAnsi="Times New Roman"/>
          <w:sz w:val="18"/>
          <w:szCs w:val="18"/>
          <w:color w:val="auto"/>
        </w:rPr>
        <w:t>We follow the latest International Council for Harmonization of Technical Requirements for Pharmaceuticals for Human Use/GxP principles, and national and local regulations in our research and development activities. For our clinical trials, this includes establishing standard operating procedures for all aspects of trial conduct, including safety review in clinical trials, establishing independent data monitoring committees, submitting clinical trial applications and any necessary amendments to regulators within statutory requirements, training clinical staff and investigators, obtaining institutional review board/ethics committee approval before initiating clinical trials, obtaining informed consent from clinical trial participants, and reporting serious adverse events and adverse events to regulatory authorities as required by law. We meet industry and scientific standards in our clinical trial publication and data sharing practices. With respect to preclinical research, we are committed to providing humane care and ethical treatment for all animals used in our research. We are actively committed to the principles of the ‘3Rs’ - Replacement, Reduction and Refinement of animals in research. In addition, all animal care and technical procedures are carried out by a trained staff/vendors under the oversight of our Institutional Animal Care and Use Committee (IACUC), which is comprised of internal and external experts.</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Quality and Drug Safety</w:t>
      </w:r>
    </w:p>
    <w:p>
      <w:pPr>
        <w:spacing w:after="0" w:line="256" w:lineRule="exact"/>
        <w:rPr>
          <w:sz w:val="20"/>
          <w:szCs w:val="20"/>
          <w:color w:val="auto"/>
        </w:rPr>
      </w:pPr>
    </w:p>
    <w:p>
      <w:pPr>
        <w:ind w:right="340" w:firstLine="405"/>
        <w:spacing w:after="0" w:line="297" w:lineRule="auto"/>
        <w:rPr>
          <w:sz w:val="20"/>
          <w:szCs w:val="20"/>
          <w:color w:val="auto"/>
        </w:rPr>
      </w:pPr>
      <w:r>
        <w:rPr>
          <w:rFonts w:ascii="Times New Roman" w:cs="Times New Roman" w:eastAsia="Times New Roman" w:hAnsi="Times New Roman"/>
          <w:sz w:val="18"/>
          <w:szCs w:val="18"/>
          <w:color w:val="auto"/>
        </w:rPr>
        <w:t>We maintain a quality policy and have implemented and support a full quality management system, including implementation, monitoring, and continuous improvement of processes. Our quality department is independent of manufacturing, clinical and pre-clinical operations to ensure objective</w:t>
      </w:r>
    </w:p>
    <w:p>
      <w:pPr>
        <w:spacing w:after="0" w:line="1"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review and assessment of quality system effectiveness and outputs. Contractors and suppliers deemed to be of critical importance to product safety, efficacy, quality or data integrity, must enter into agreements defining</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2" w:name="page33"/>
    <w:bookmarkEnd w:id="32"/>
    <w:p>
      <w:pPr>
        <w:ind w:right="640"/>
        <w:spacing w:after="0" w:line="282" w:lineRule="auto"/>
        <w:rPr>
          <w:sz w:val="20"/>
          <w:szCs w:val="20"/>
          <w:color w:val="auto"/>
        </w:rPr>
      </w:pPr>
      <w:r>
        <w:rPr>
          <w:rFonts w:ascii="Times New Roman" w:cs="Times New Roman" w:eastAsia="Times New Roman" w:hAnsi="Times New Roman"/>
          <w:sz w:val="18"/>
          <w:szCs w:val="18"/>
          <w:color w:val="auto"/>
        </w:rPr>
        <w:t>responsibility of quality activities and required communication of such activities. We maintain policies and procedures to meet applicable laws and regulations.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Our People</w:t>
      </w:r>
    </w:p>
    <w:p>
      <w:pPr>
        <w:spacing w:after="0" w:line="256"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We believe that our people are our greatest assets and that a diverse and inclusive workforce contributes significantly to a more innovative and higher performing organization. In 2025, we continued our practices that emphasize employee engagement. Furthermore, turnover metrics were evaluated in our corporate goals. For a more detailed discussion of our human capital resource management philosophy and efforts, please see “Item 1. Business – Human Capital Management” in Part 1 of our Annual Report on Form 10-K.</w:t>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Access to/Affordability of Medicines</w:t>
      </w:r>
    </w:p>
    <w:p>
      <w:pPr>
        <w:spacing w:after="0" w:line="256"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We are committed to bringing our products to patients under a marketing authorization. We have an expanded access policy through which we may provide access to investigational therapies for patients when appropriate.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Environmental Health and Safety</w:t>
      </w:r>
    </w:p>
    <w:p>
      <w:pPr>
        <w:spacing w:after="0" w:line="256" w:lineRule="exact"/>
        <w:rPr>
          <w:sz w:val="20"/>
          <w:szCs w:val="20"/>
          <w:color w:val="auto"/>
        </w:rPr>
      </w:pPr>
    </w:p>
    <w:p>
      <w:pPr>
        <w:ind w:right="140" w:firstLine="405"/>
        <w:spacing w:after="0" w:line="255" w:lineRule="auto"/>
        <w:rPr>
          <w:sz w:val="20"/>
          <w:szCs w:val="20"/>
          <w:color w:val="auto"/>
        </w:rPr>
      </w:pPr>
      <w:r>
        <w:rPr>
          <w:rFonts w:ascii="Times New Roman" w:cs="Times New Roman" w:eastAsia="Times New Roman" w:hAnsi="Times New Roman"/>
          <w:sz w:val="18"/>
          <w:szCs w:val="18"/>
          <w:color w:val="auto"/>
        </w:rPr>
        <w:t>We aim to operate all of our facilities in a safe and responsible manner and foster a culture that promotes worker health and safety. We maintain an Environmental Health and Safety plans and policies to ensure understanding of and compliance with applicable regulations. All employees are required to take basic safety training, and individuals with specific job functions are required to go through additional function-specific safety trainings. Some of the materials and chemicals we use in our operations could cause harm to the environment and the workers who handle them. As such, we have instituted training, information guides, and safety controls to ensure the responsible storage, use, generation and disposal of such waste, in accordance with all applicable laws and regulations. We maintain an active recycling program compliant with federal, state and local requirements and are evolving our recycling program to meet and exceed Montgomery County, MD goals.</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Compliance Program</w:t>
      </w:r>
    </w:p>
    <w:p>
      <w:pPr>
        <w:spacing w:after="0" w:line="297" w:lineRule="exact"/>
        <w:rPr>
          <w:sz w:val="20"/>
          <w:szCs w:val="20"/>
          <w:color w:val="auto"/>
        </w:rPr>
      </w:pPr>
    </w:p>
    <w:p>
      <w:pPr>
        <w:ind w:firstLine="405"/>
        <w:spacing w:after="0" w:line="297" w:lineRule="auto"/>
        <w:rPr>
          <w:sz w:val="20"/>
          <w:szCs w:val="20"/>
          <w:color w:val="auto"/>
        </w:rPr>
      </w:pPr>
      <w:r>
        <w:rPr>
          <w:rFonts w:ascii="Times New Roman" w:cs="Times New Roman" w:eastAsia="Times New Roman" w:hAnsi="Times New Roman"/>
          <w:sz w:val="18"/>
          <w:szCs w:val="18"/>
          <w:color w:val="auto"/>
        </w:rPr>
        <w:t>We have established a compliance program under the leadership of our General Counsel and Compliance Officer. The program is overseen by our Audit Committee, including quarterly updates. We conduct an annual compliance risk assessment in order to continuously assess and refine our compliance program.</w:t>
      </w:r>
    </w:p>
    <w:p>
      <w:pPr>
        <w:spacing w:after="0" w:line="200" w:lineRule="exact"/>
        <w:rPr>
          <w:sz w:val="20"/>
          <w:szCs w:val="20"/>
          <w:color w:val="auto"/>
        </w:rPr>
      </w:pP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Information Security Program</w:t>
      </w:r>
    </w:p>
    <w:p>
      <w:pPr>
        <w:spacing w:after="0" w:line="256" w:lineRule="exact"/>
        <w:rPr>
          <w:sz w:val="20"/>
          <w:szCs w:val="20"/>
          <w:color w:val="auto"/>
        </w:rPr>
      </w:pPr>
    </w:p>
    <w:p>
      <w:pPr>
        <w:ind w:right="60" w:firstLine="405"/>
        <w:spacing w:after="0" w:line="289" w:lineRule="auto"/>
        <w:rPr>
          <w:sz w:val="20"/>
          <w:szCs w:val="20"/>
          <w:color w:val="auto"/>
        </w:rPr>
      </w:pPr>
      <w:r>
        <w:rPr>
          <w:rFonts w:ascii="Times New Roman" w:cs="Times New Roman" w:eastAsia="Times New Roman" w:hAnsi="Times New Roman"/>
          <w:sz w:val="17"/>
          <w:szCs w:val="17"/>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(Information Systems and Data).</w:t>
      </w:r>
    </w:p>
    <w:p>
      <w:pPr>
        <w:spacing w:after="0" w:line="185"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Depending on the environment and system, we implement and maintain various technical, physical, and organizational measures, processes, and policies designed to manage and mitigate material risks from cybersecurity threats to our Information Systems and Data, including: an incident response plan and procedures, incident detection and response playbook, business continuity plans, encryption of certain data, network security controls, identity management and access controls, physical security controls, 24/7 systems monitoring, vendor risk management processes, employee cybersecurity and privacy training, penetration testing, cybersecurity insurance, and dedicated cybersecurity staff.</w:t>
      </w:r>
    </w:p>
    <w:p>
      <w:pPr>
        <w:spacing w:after="0" w:line="210" w:lineRule="exact"/>
        <w:rPr>
          <w:sz w:val="20"/>
          <w:szCs w:val="20"/>
          <w:color w:val="auto"/>
        </w:rPr>
      </w:pPr>
    </w:p>
    <w:p>
      <w:pPr>
        <w:ind w:right="40" w:firstLine="405"/>
        <w:spacing w:after="0" w:line="254" w:lineRule="auto"/>
        <w:rPr>
          <w:sz w:val="20"/>
          <w:szCs w:val="20"/>
          <w:color w:val="auto"/>
        </w:rPr>
      </w:pPr>
      <w:r>
        <w:rPr>
          <w:rFonts w:ascii="Times New Roman" w:cs="Times New Roman" w:eastAsia="Times New Roman" w:hAnsi="Times New Roman"/>
          <w:sz w:val="18"/>
          <w:szCs w:val="18"/>
          <w:color w:val="auto"/>
        </w:rPr>
        <w:t>Our Board addresses the Company’s cybersecurity risk management as part of its general oversight function. The Audit Committee and management’s Technology Steering Committee are responsible for overseeing our cybersecurity risk management processes, including oversight and mitigation of risks from cybersecurity threats. Our cybersecurity risk assessment and management processes are implemented and maintained by certain Company management. Our cybersecurity incident response processes are designed to escalate certain cybersecurity incidents to members of management depending on the circumstances and incident severity, including our Vice President, Information Technology who, with respect to cybersecurity matters has an indirect reporting relationship with the General Counsel and Compliance Officer, and who works with the Company’s incident response team to help the Company mitigate and remediate cybersecurity incidents. In addition, the Company’s incident response process includes reporting to the Audit Committee of the board of directors for certain cybersecurity incidents.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0" w:right="3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right="20" w:firstLine="445"/>
        <w:spacing w:after="0" w:line="258" w:lineRule="auto"/>
        <w:rPr>
          <w:sz w:val="20"/>
          <w:szCs w:val="20"/>
          <w:color w:val="auto"/>
        </w:rPr>
      </w:pPr>
      <w:r>
        <w:rPr>
          <w:rFonts w:ascii="Times New Roman" w:cs="Times New Roman" w:eastAsia="Times New Roman" w:hAnsi="Times New Roman"/>
          <w:sz w:val="18"/>
          <w:szCs w:val="18"/>
          <w:color w:val="auto"/>
        </w:rPr>
        <w:t>Since January 1, 2024, there has not been, nor is there any proposed transaction where we were or will be a participant in which the amount involved exceeded or will exceed $120,000 (which is less than one percent of the average of our total assets at year end for the last two completed fiscal years) and in which any director, executive officer, holder of more than 5% of any class of our voting securities, or any member of the immediate family of any of the foregoing persons had or will have a direct or indirect material interest, other than the compensation agreements and other agreements and transactions which are described in “Executive Compensation — Overview of Employment and Change in Control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Party Transactions</w:t>
      </w:r>
    </w:p>
    <w:p>
      <w:pPr>
        <w:spacing w:after="0" w:line="22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The Audit Committee is responsible for reviewing and approving any related party transactions and potential conflict of interest situations involving a principal stockholder, a member of the Board or senior management prior to our entry into such a transaction. With certain exceptions set forth in Item 404 of Regulation S-K, the Audit Committee’s authority covers any transaction, arrangement or relationship, or any series of similar transactions, arrangements or relationships in which we were or are to be a participant, where the amount involved exceeds $120,000 and a related person had or will have a direct or indirect material interest, including, without limitation, purchases of goods or services by or from the related person or entities in which the related person has a material interest, indebtedness, guarantees of indebtedness and employment by us of a related party. In reviewing and approving any such transactions, our Audit Committee considers all relevant facts and circumstances, including, but not limited to, whether the transaction is on terms comparable to those that could be obtained in an arm’s length transaction and the extent of the related person’s interest in the transaction. In addition, our Company policies require that our officers and employees avoid using their positions for purposes that are, or give the appearance of being, motivated by a desire for personal gain, and our policies further require that all officers and employees report any potential related party transaction prior to entering into such transaction. All such notices concerning related party transactions or conflicts of interest are submitted to, and reviewed by, our General Counsel, our Chief Financial Officer and our Audit Committee.</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4" w:name="page35"/>
    <w:bookmarkEnd w:id="34"/>
    <w:tbl>
      <w:tblPr>
        <w:tblLayout w:type="fixed"/>
        <w:tblInd w:w="60" w:type="dxa"/>
        <w:tblCellMar>
          <w:top w:w="0" w:type="dxa"/>
          <w:left w:w="0" w:type="dxa"/>
          <w:bottom w:w="0" w:type="dxa"/>
          <w:right w:w="0" w:type="dxa"/>
        </w:tblCellMar>
      </w:tblPr>
      <w:tr>
        <w:trPr>
          <w:trHeight w:val="238"/>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14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432"/>
        </w:trPr>
        <w:tc>
          <w:tcPr>
            <w:tcW w:w="11160" w:type="dxa"/>
            <w:vAlign w:val="bottom"/>
            <w:gridSpan w:val="5"/>
          </w:tcPr>
          <w:p>
            <w:pPr>
              <w:ind w:left="400"/>
              <w:spacing w:after="0"/>
              <w:rPr>
                <w:sz w:val="20"/>
                <w:szCs w:val="20"/>
                <w:color w:val="auto"/>
              </w:rPr>
            </w:pPr>
            <w:r>
              <w:rPr>
                <w:rFonts w:ascii="Times New Roman" w:cs="Times New Roman" w:eastAsia="Times New Roman" w:hAnsi="Times New Roman"/>
                <w:sz w:val="18"/>
                <w:szCs w:val="18"/>
                <w:color w:val="auto"/>
              </w:rPr>
              <w:t>The following sets forth certain information regarding our current executive officers as of March 27, 2026:</w:t>
            </w:r>
          </w:p>
        </w:tc>
      </w:tr>
      <w:tr>
        <w:trPr>
          <w:trHeight w:val="365"/>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9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Age</w:t>
            </w:r>
          </w:p>
        </w:tc>
        <w:tc>
          <w:tcPr>
            <w:tcW w:w="7140" w:type="dxa"/>
            <w:vAlign w:val="bottom"/>
          </w:tcPr>
          <w:p>
            <w:pPr>
              <w:ind w:left="318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28"/>
        </w:trPr>
        <w:tc>
          <w:tcPr>
            <w:tcW w:w="28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Eric Risser</w:t>
            </w:r>
          </w:p>
        </w:tc>
        <w:tc>
          <w:tcPr>
            <w:tcW w:w="220" w:type="dxa"/>
            <w:vAlign w:val="bottom"/>
          </w:tcPr>
          <w:p>
            <w:pPr>
              <w:spacing w:after="0"/>
              <w:rPr>
                <w:sz w:val="19"/>
                <w:szCs w:val="19"/>
                <w:color w:val="auto"/>
              </w:rPr>
            </w:pPr>
          </w:p>
        </w:tc>
        <w:tc>
          <w:tcPr>
            <w:tcW w:w="7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9"/>
                <w:szCs w:val="19"/>
                <w:color w:val="auto"/>
              </w:rPr>
            </w:pPr>
          </w:p>
        </w:tc>
        <w:tc>
          <w:tcPr>
            <w:tcW w:w="71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33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4"/>
                <w:szCs w:val="24"/>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33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Ezio Bonvini, M.D.</w:t>
            </w: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24"/>
                <w:szCs w:val="24"/>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Research and Chief Scientific Officer</w:t>
            </w:r>
          </w:p>
        </w:tc>
      </w:tr>
      <w:tr>
        <w:trPr>
          <w:trHeight w:val="28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Jeffrey Peters</w:t>
            </w: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4"/>
                <w:szCs w:val="24"/>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General Counsel, Corporate Compliance Officer and Corporate Secretary</w:t>
            </w:r>
          </w:p>
        </w:tc>
      </w:tr>
      <w:tr>
        <w:trPr>
          <w:trHeight w:val="324"/>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Thomas Spitznagel, Ph.D.</w:t>
            </w: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24"/>
                <w:szCs w:val="24"/>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Technical Operations</w:t>
            </w:r>
          </w:p>
        </w:tc>
      </w:tr>
      <w:tr>
        <w:trPr>
          <w:trHeight w:val="338"/>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Beth Smith</w:t>
            </w:r>
          </w:p>
        </w:tc>
        <w:tc>
          <w:tcPr>
            <w:tcW w:w="7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4"/>
                <w:szCs w:val="24"/>
                <w:color w:val="auto"/>
              </w:rPr>
            </w:pPr>
          </w:p>
        </w:tc>
        <w:tc>
          <w:tcPr>
            <w:tcW w:w="7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Vice President, Controller and Treasurer</w:t>
            </w:r>
          </w:p>
        </w:tc>
      </w:tr>
    </w:tbl>
    <w:p>
      <w:pPr>
        <w:spacing w:after="0" w:line="302" w:lineRule="exact"/>
        <w:rPr>
          <w:sz w:val="20"/>
          <w:szCs w:val="20"/>
          <w:color w:val="auto"/>
        </w:rPr>
      </w:pPr>
    </w:p>
    <w:p>
      <w:pPr>
        <w:jc w:val="both"/>
        <w:ind w:right="20" w:firstLine="44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Eric Risser, </w:t>
      </w:r>
      <w:r>
        <w:rPr>
          <w:rFonts w:ascii="Times New Roman" w:cs="Times New Roman" w:eastAsia="Times New Roman" w:hAnsi="Times New Roman"/>
          <w:sz w:val="18"/>
          <w:szCs w:val="18"/>
          <w:color w:val="auto"/>
        </w:rPr>
        <w:t>President and Chief Executive Officer and a director, joined us in March 2009. See “Class I Nominees for Election to a Three-Year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Expiring at the 2029 Annual Meeting of Stockholders” for Mr. Risser's biography.</w:t>
      </w:r>
    </w:p>
    <w:p>
      <w:pPr>
        <w:spacing w:after="0" w:line="155" w:lineRule="exact"/>
        <w:rPr>
          <w:sz w:val="20"/>
          <w:szCs w:val="20"/>
          <w:color w:val="auto"/>
        </w:rPr>
      </w:pPr>
    </w:p>
    <w:p>
      <w:pPr>
        <w:ind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Karrels, </w:t>
      </w:r>
      <w:r>
        <w:rPr>
          <w:rFonts w:ascii="Times New Roman" w:cs="Times New Roman" w:eastAsia="Times New Roman" w:hAnsi="Times New Roman"/>
          <w:sz w:val="18"/>
          <w:szCs w:val="18"/>
          <w:color w:val="auto"/>
        </w:rPr>
        <w:t>Senior Vice President and Chief Financial Officer, joined us in May 2008 and has more than 33 years of experience in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including extensive experience in the life sciences sector. Prior to joining the Company, he served as Executive Director of Finance at Jazz Pharmaceuticals, Inc., where he was responsible for financial planning and analysis and investor relations. Previously, Mr. Karrels was a Director in the Global Healthcare Investment Banking Group at Merrill Lynch. Mr. Karrels holds an M.B.A. from Stanford University and a B.B.A. from the University of Notre Dame.</w:t>
      </w:r>
    </w:p>
    <w:p>
      <w:pPr>
        <w:spacing w:after="0" w:line="179" w:lineRule="exact"/>
        <w:rPr>
          <w:sz w:val="20"/>
          <w:szCs w:val="20"/>
          <w:color w:val="auto"/>
        </w:rPr>
      </w:pPr>
    </w:p>
    <w:p>
      <w:pPr>
        <w:ind w:right="80" w:firstLine="44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Ezio Bonvini, M.D.</w:t>
      </w:r>
      <w:r>
        <w:rPr>
          <w:rFonts w:ascii="Times New Roman" w:cs="Times New Roman" w:eastAsia="Times New Roman" w:hAnsi="Times New Roman"/>
          <w:sz w:val="18"/>
          <w:szCs w:val="18"/>
          <w:color w:val="auto"/>
        </w:rPr>
        <w:t>, Senior Vice President, Research, and Chief Scientific Officer, joined us in June 2003. Dr. Bonvini received an M.D. degree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specialty certification in clinical hematology from the University of Genoa School of Medicine, Genoa, Italy. He then joined the NCI/NIH as a Visiting Fellow and subsequently the Center for Biologics Evaluation and Research of the FDA in multiple capacities. Prior to joining MacroGenics, Dr. Bonvini was the Acting Deputy Director of the Division of Monoclonal Antibodies and Chief of the Laboratory of Immunobiology at the Center for Biologics Evaluation and Research of the FDA.</w:t>
      </w:r>
    </w:p>
    <w:p>
      <w:pPr>
        <w:spacing w:after="0" w:line="179" w:lineRule="exact"/>
        <w:rPr>
          <w:sz w:val="20"/>
          <w:szCs w:val="20"/>
          <w:color w:val="auto"/>
        </w:rPr>
      </w:pPr>
    </w:p>
    <w:p>
      <w:pPr>
        <w:ind w:right="120" w:firstLine="4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Jeffrey Peters</w:t>
      </w:r>
      <w:r>
        <w:rPr>
          <w:rFonts w:ascii="Times New Roman" w:cs="Times New Roman" w:eastAsia="Times New Roman" w:hAnsi="Times New Roman"/>
          <w:sz w:val="18"/>
          <w:szCs w:val="18"/>
          <w:color w:val="auto"/>
        </w:rPr>
        <w:t>, Senior Vice President, General Counsel, Corporate Compliance Officer, and Corporate Secretary, joined us in August 2015, and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over 25 years’ experience advising companies across the health care industry, including the life sciences sector. Before joining us, Mr. Peters served as Deputy General Counsel for BIO, the leading biotechnology industry trade organization. Prior to BIO, from 2005 to 2013, Mr. Peters was with MedImmune, the global biologics arm of AstraZeneca. During that time, Mr. Peters had positions of increasing responsibility in the MedImmune legal department, culminating as Vice President and Deputy General Counsel. Mr. Peters was in private practice for almost a decade, joining MedImmune from Latham &amp; Watkins LLP, in Washington, D.C. Mr. Peters holds a J.D. from the University of Pennsylvania Law School and a B.A. from Brandeis University.</w:t>
      </w:r>
    </w:p>
    <w:p>
      <w:pPr>
        <w:spacing w:after="0" w:line="183" w:lineRule="exact"/>
        <w:rPr>
          <w:sz w:val="20"/>
          <w:szCs w:val="20"/>
          <w:color w:val="auto"/>
        </w:rPr>
      </w:pPr>
    </w:p>
    <w:p>
      <w:pPr>
        <w:ind w:right="380" w:firstLine="445"/>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Thomas Spitznagel, Ph.D.</w:t>
      </w:r>
      <w:r>
        <w:rPr>
          <w:rFonts w:ascii="Times New Roman" w:cs="Times New Roman" w:eastAsia="Times New Roman" w:hAnsi="Times New Roman"/>
          <w:sz w:val="18"/>
          <w:szCs w:val="18"/>
          <w:color w:val="auto"/>
        </w:rPr>
        <w:t>, Senior Vice President, Technical Operations, joined us in 2013. He has overall responsibility for biopharmaceutical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and manufacturing of MacroGenics’ Fc-optimized monoclonal antibodies, DART</w:t>
      </w:r>
      <w:r>
        <w:rPr>
          <w:rFonts w:ascii="Times New Roman" w:cs="Times New Roman" w:eastAsia="Times New Roman" w:hAnsi="Times New Roman"/>
          <w:sz w:val="9"/>
          <w:szCs w:val="9"/>
          <w:color w:val="auto"/>
        </w:rPr>
        <w:t>®</w:t>
      </w:r>
      <w:r>
        <w:rPr>
          <w:rFonts w:ascii="Times New Roman" w:cs="Times New Roman" w:eastAsia="Times New Roman" w:hAnsi="Times New Roman"/>
          <w:sz w:val="18"/>
          <w:szCs w:val="18"/>
          <w:color w:val="auto"/>
        </w:rPr>
        <w:t xml:space="preserve"> molecules, and Antibody Drug Conjugates, as well as quality, supply chain, CMC project management, facilities and engineering, and environmental health &amp; safety. Prior to joining us, he was at Human Genome Sciences, most recently serving as Vice President of BioPharmaceutical Development, where he was responsible for oversight of Analytical Development, Formulation and Drug Delivery, Purification Sciences, and Fermentation and Cell Culture Sciences. Prior to joining Human Genome Sciences, Dr. Spitznagel was a Senior Scientist at Nabi from 1996-1998, and a Staff Engineer at Genetics Institute from 1992 to 1996. Dr. Spitznagel earned his S.B. in Chemical Engineering at MIT, and his Ph.D. in Chemical Engineering at the University of California, Berkeley.</w:t>
      </w:r>
    </w:p>
    <w:p>
      <w:pPr>
        <w:spacing w:after="0" w:line="183" w:lineRule="exact"/>
        <w:rPr>
          <w:sz w:val="20"/>
          <w:szCs w:val="20"/>
          <w:color w:val="auto"/>
        </w:rPr>
      </w:pPr>
    </w:p>
    <w:p>
      <w:pPr>
        <w:ind w:firstLine="445"/>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Beth Smith</w:t>
      </w:r>
      <w:r>
        <w:rPr>
          <w:rFonts w:ascii="Times New Roman" w:cs="Times New Roman" w:eastAsia="Times New Roman" w:hAnsi="Times New Roman"/>
          <w:sz w:val="17"/>
          <w:szCs w:val="17"/>
          <w:color w:val="auto"/>
        </w:rPr>
        <w:t>, Vice President, Controller and Treasurer, joined us in October 2013 and has over 35 years of experience in accounting and finance. Prior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to being appointed to Vice President, Controller and Treasurer in November 2024, Ms. Smith served as the Company's Executive Director of Accounting and Assistant Controller since June 2022. Prior to joining us, Ms. Smith was the Director, Corporate Accounting at Human Genome Sciences. Before Human Genome Sciences, Inc. Ms. Smith held various accounting positions in publicly held companies after beginning her career with Ernst &amp; Young. Ms. Smith holds a B.S. in Business Administration with a concentration in Accounting from Bucknell University and is a Certified Public Accountant-Inactive.</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445"/>
        <w:spacing w:after="0" w:line="266" w:lineRule="auto"/>
        <w:rPr>
          <w:sz w:val="20"/>
          <w:szCs w:val="20"/>
          <w:color w:val="auto"/>
        </w:rPr>
      </w:pPr>
      <w:r>
        <w:rPr>
          <w:rFonts w:ascii="Times New Roman" w:cs="Times New Roman" w:eastAsia="Times New Roman" w:hAnsi="Times New Roman"/>
          <w:sz w:val="18"/>
          <w:szCs w:val="18"/>
          <w:color w:val="auto"/>
        </w:rPr>
        <w:t>The Executive Compensation Information section considers the Company’s executive compensation philosophy, the objectives and operation of the compensation program, how compensation was set for 2025 and the various elements of compensation paid to certain named executive officers for services during 2025.</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2025, MacroGenics’ named executive officers consisted of the following individuals:</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7100" w:type="dxa"/>
            <w:vAlign w:val="bottom"/>
          </w:tcPr>
          <w:p>
            <w:pPr>
              <w:ind w:left="314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169"/>
        </w:trPr>
        <w:tc>
          <w:tcPr>
            <w:tcW w:w="360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Eric Risser</w:t>
            </w:r>
          </w:p>
        </w:tc>
        <w:tc>
          <w:tcPr>
            <w:tcW w:w="240" w:type="dxa"/>
            <w:vAlign w:val="bottom"/>
          </w:tcPr>
          <w:p>
            <w:pPr>
              <w:spacing w:after="0"/>
              <w:rPr>
                <w:sz w:val="14"/>
                <w:szCs w:val="14"/>
                <w:color w:val="auto"/>
              </w:rPr>
            </w:pPr>
          </w:p>
        </w:tc>
        <w:tc>
          <w:tcPr>
            <w:tcW w:w="7100" w:type="dxa"/>
            <w:vAlign w:val="bottom"/>
            <w:tcBorders>
              <w:top w:val="single" w:sz="8" w:color="auto"/>
            </w:tcBorders>
          </w:tcPr>
          <w:p>
            <w:pPr>
              <w:ind w:left="140"/>
              <w:spacing w:after="0" w:line="169" w:lineRule="exact"/>
              <w:rPr>
                <w:sz w:val="20"/>
                <w:szCs w:val="20"/>
                <w:color w:val="auto"/>
              </w:rPr>
            </w:pPr>
            <w:r>
              <w:rPr>
                <w:rFonts w:ascii="Times New Roman" w:cs="Times New Roman" w:eastAsia="Times New Roman" w:hAnsi="Times New Roman"/>
                <w:sz w:val="18"/>
                <w:szCs w:val="18"/>
                <w:color w:val="auto"/>
              </w:rPr>
              <w:t>President, Chief Executive Officer, Director and former Chief Operating Officer</w:t>
            </w:r>
          </w:p>
        </w:tc>
      </w:t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292"/>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Koenig, M.D., Ph.D.</w:t>
            </w:r>
          </w:p>
        </w:tc>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Former Chief Executive Officer and current Director</w:t>
            </w:r>
          </w:p>
        </w:tc>
      </w:t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(former principal executive officer)</w:t>
            </w:r>
          </w:p>
        </w:tc>
      </w:tr>
      <w:tr>
        <w:trPr>
          <w:trHeight w:val="346"/>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Research and Chief Scientific Officer</w:t>
            </w:r>
          </w:p>
        </w:tc>
      </w:tr>
      <w:tr>
        <w:trPr>
          <w:trHeight w:val="283"/>
        </w:trPr>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3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20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As previously disclosed, effective as of August 13, 2025, the Board appointed Mr. Risser to serve as the Company’s President and Chief Executive Officer, and as the Company’s principal executive officer. Until that time, Mr. Risser served as our Chief Operating Officer. At that time, Dr. Koenig’s service as our Chief Executive Officer ceased.</w:t>
      </w:r>
    </w:p>
    <w:p>
      <w:pPr>
        <w:spacing w:after="0" w:line="20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The Company is a “smaller reporting company” as defined under SEC rules. As such, the Company is exempt from various SEC reporting requirements. These exemptions include, but are not limited to, reduced disclosure obligations regarding executive compensation in our proxy statements. We have elected to comply with certain scaled disclosure requirements applicable to smaller reporting companies but have provided selected additional disclosures to be consistent with our practice of transparency to our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Compensation Philosophy</w:t>
      </w:r>
    </w:p>
    <w:p>
      <w:pPr>
        <w:spacing w:after="0" w:line="229"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MacroGenics’ executive compensation program, overseen by the Human Capital Management Committee, is designed to attract, retain and reward highly qualified talent at the senior executive level, in a very competitive market, while ensuring individual and corporate accountability to achieve the Company’s mission, vision, and goals. This philosophy is reflected in the components of the Company’s compensation program, and includes the following principles:</w:t>
      </w:r>
    </w:p>
    <w:p>
      <w:pPr>
        <w:spacing w:after="0" w:line="72" w:lineRule="exact"/>
        <w:rPr>
          <w:sz w:val="20"/>
          <w:szCs w:val="20"/>
          <w:color w:val="auto"/>
        </w:rPr>
      </w:pPr>
    </w:p>
    <w:p>
      <w:pPr>
        <w:ind w:left="900" w:right="540" w:hanging="325"/>
        <w:spacing w:after="0" w:line="282" w:lineRule="auto"/>
        <w:tabs>
          <w:tab w:leader="none" w:pos="81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for executives, other than the CEO, who are responsible for the success of MacroGenics should be linked to individual and corporate performance, and the pay for the CEO should be linked to corporate performance;</w:t>
      </w:r>
    </w:p>
    <w:p>
      <w:pPr>
        <w:spacing w:after="0" w:line="53" w:lineRule="exact"/>
        <w:rPr>
          <w:rFonts w:ascii="Times New Roman" w:cs="Times New Roman" w:eastAsia="Times New Roman" w:hAnsi="Times New Roman"/>
          <w:sz w:val="18"/>
          <w:szCs w:val="18"/>
          <w:color w:val="auto"/>
        </w:rPr>
      </w:pPr>
    </w:p>
    <w:p>
      <w:pPr>
        <w:ind w:left="900" w:right="780" w:hanging="325"/>
        <w:spacing w:after="0" w:line="282" w:lineRule="auto"/>
        <w:tabs>
          <w:tab w:leader="none" w:pos="89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opportunities should be competitive with comparable biopharmaceutical companies, but also should be designed to be sufficiently flexible to attract talent as needed from other biopharmaceutical companies;</w:t>
      </w:r>
    </w:p>
    <w:p>
      <w:pPr>
        <w:spacing w:after="0" w:line="53"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compensation program should align executives’ interests with those of stockholders; and</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supplemental benefits and perquisites should be limited and used selectively, if at all, in specific circumstances to attract and retain executives.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Within this overall philosophy, the Human Capital Management Committee’s objectives regarding executive officer compensation are to:</w:t>
      </w:r>
    </w:p>
    <w:p>
      <w:pPr>
        <w:spacing w:after="0" w:line="117" w:lineRule="exact"/>
        <w:rPr>
          <w:sz w:val="20"/>
          <w:szCs w:val="20"/>
          <w:color w:val="auto"/>
        </w:rPr>
      </w:pPr>
    </w:p>
    <w:p>
      <w:pPr>
        <w:ind w:left="900" w:right="280" w:hanging="325"/>
        <w:spacing w:after="0" w:line="266" w:lineRule="auto"/>
        <w:tabs>
          <w:tab w:leader="none" w:pos="8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a total compensation program that enables MacroGenics to attract, motivate, and retain individuals who are highly experienced with a proven track record of success, and to provide total compensation that is competitive with the Company’s peers, as described in more detail below;</w:t>
      </w:r>
    </w:p>
    <w:p>
      <w:pPr>
        <w:spacing w:after="0" w:line="6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annual variable cash incentive awards based on the achievement of individual and corporate performance criteria;</w:t>
      </w:r>
    </w:p>
    <w:p>
      <w:pPr>
        <w:spacing w:after="0" w:line="117" w:lineRule="exact"/>
        <w:rPr>
          <w:rFonts w:ascii="Times New Roman" w:cs="Times New Roman" w:eastAsia="Times New Roman" w:hAnsi="Times New Roman"/>
          <w:sz w:val="18"/>
          <w:szCs w:val="18"/>
          <w:color w:val="auto"/>
        </w:rPr>
      </w:pPr>
    </w:p>
    <w:p>
      <w:pPr>
        <w:ind w:left="900" w:right="60" w:hanging="325"/>
        <w:spacing w:after="0" w:line="266" w:lineRule="auto"/>
        <w:tabs>
          <w:tab w:leader="none" w:pos="81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significant portion of named executive officers’ compensation dependent on MacroGenics’ long-term performance and on enhancing stockholder value by providing appropriate long-term, equity-based incentives and encouraging stock ownership consistent with our executive officer stock ownership guidelines; and</w:t>
      </w:r>
    </w:p>
    <w:p>
      <w:pPr>
        <w:spacing w:after="0" w:line="67" w:lineRule="exact"/>
        <w:rPr>
          <w:rFonts w:ascii="Times New Roman" w:cs="Times New Roman" w:eastAsia="Times New Roman" w:hAnsi="Times New Roman"/>
          <w:sz w:val="18"/>
          <w:szCs w:val="18"/>
          <w:color w:val="auto"/>
        </w:rPr>
      </w:pPr>
    </w:p>
    <w:p>
      <w:pPr>
        <w:ind w:left="900" w:hanging="325"/>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internal equity in the compensation offered to the members of the executive team.</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36" w:name="page37"/>
    <w:bookmarkEnd w:id="36"/>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Attract, Motivate, and Retain Highly Qualified Executives</w:t>
      </w:r>
    </w:p>
    <w:p>
      <w:pPr>
        <w:spacing w:after="0" w:line="229" w:lineRule="exact"/>
        <w:rPr>
          <w:sz w:val="20"/>
          <w:szCs w:val="20"/>
          <w:color w:val="auto"/>
        </w:rPr>
      </w:pPr>
    </w:p>
    <w:p>
      <w:pPr>
        <w:jc w:val="both"/>
        <w:ind w:right="480" w:firstLine="445"/>
        <w:spacing w:after="0" w:line="266" w:lineRule="auto"/>
        <w:rPr>
          <w:sz w:val="20"/>
          <w:szCs w:val="20"/>
          <w:color w:val="auto"/>
        </w:rPr>
      </w:pPr>
      <w:r>
        <w:rPr>
          <w:rFonts w:ascii="Times New Roman" w:cs="Times New Roman" w:eastAsia="Times New Roman" w:hAnsi="Times New Roman"/>
          <w:sz w:val="18"/>
          <w:szCs w:val="18"/>
          <w:color w:val="auto"/>
        </w:rPr>
        <w:t>The Human Capital Management Committee believes that the compensation for MacroGenics’ executive officers should be designed to attract, motivate and retain highly qualified executive officers responsible for the success of MacroGenics and should be determined within a framework that rewards performance and aligns the interests of the named executive officers with the interests of the Company’s stockholders.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Balance Corporate and Individual Performance</w:t>
      </w:r>
    </w:p>
    <w:p>
      <w:pPr>
        <w:spacing w:after="0" w:line="229" w:lineRule="exact"/>
        <w:rPr>
          <w:sz w:val="20"/>
          <w:szCs w:val="20"/>
          <w:color w:val="auto"/>
        </w:rPr>
      </w:pPr>
    </w:p>
    <w:p>
      <w:pPr>
        <w:ind w:right="60" w:firstLine="445"/>
        <w:spacing w:after="0" w:line="266" w:lineRule="auto"/>
        <w:rPr>
          <w:sz w:val="20"/>
          <w:szCs w:val="20"/>
          <w:color w:val="auto"/>
        </w:rPr>
      </w:pPr>
      <w:r>
        <w:rPr>
          <w:rFonts w:ascii="Times New Roman" w:cs="Times New Roman" w:eastAsia="Times New Roman" w:hAnsi="Times New Roman"/>
          <w:sz w:val="18"/>
          <w:szCs w:val="18"/>
          <w:color w:val="auto"/>
        </w:rPr>
        <w:t>The Human Capital Management Committee believes that a significant portion of an executive officer’s total compensation should be affected by overall Company performance, but also the total compensation should be affected by the individual’s performance. Incentives are based on meeting criteria in each of these categories and reflect the named executive officer’s overall contributions to the Company.</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Reward Named Executive Officers for Meeting MacroGenics’ Strategic Goals and Objectives</w:t>
      </w:r>
    </w:p>
    <w:p>
      <w:pPr>
        <w:spacing w:after="0" w:line="229"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The compensation program rewards the Company’s named executive officers for achieving specified corporate and individual performance goals and building stockholder value, and incentivizes long-term retention with MacroGenics. The compensation program is designed to consider these aspects because the Human Capital Management Committee believes it will motivate the executive team to make balanced operational and long-term strategic decisions resulting in strong financial performance, scientific and product development innovation, and the achievement of the Company’s strategic business objectives.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Align Named Executive Officers’ Goals with MacroGenics’ Stockholders’ Interests</w:t>
      </w:r>
    </w:p>
    <w:p>
      <w:pPr>
        <w:spacing w:after="0" w:line="229"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The Human Capital Management Committee believes that MacroGenics’ long-term success depends upon aligning executives’ and stockholders’ interests. To support this objective, MacroGenics provides the executive officers with equity accumulation opportunities by awarding stock options and, in certain cases, restricted stock units. Generally, stock option grants vest over a four year period, and restricted stock units vest over three year periods, both of which the Human Capital Management Committee believes support long-term retention of our executive officers.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Determine Named Executive Officers’ Compensation with Reference to Market Benchmarks</w:t>
      </w:r>
    </w:p>
    <w:p>
      <w:pPr>
        <w:spacing w:after="0" w:line="229"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With the assistance of an independent compensation consultant, the Human Capital Management Committee evaluates the compensation for each executive officer’s current position against the compensation data from peer companies as described below. The Human Capital Management Committee uses competitive compensation data from the annual total compensation study of peer biopharmaceutical companies to inform its decisions about overall compensation opportunities and specific compensation elements. Additionally, the Human Capital Management Committee uses multiple reference points when establishing targeted compensation levels for executive officers. The Human Capital Management Committee does not tie specific compensation elements or total compensation to any specific percentile relative to peer companies or the broader U.S. market. Instead, the Human Capital Management Committee applies judgment and discretion in establishing targeted pay levels, taking into account not only competitive market data but also factors such as overall Company, business, and individual performance, scope of responsibility, critical needs and skill sets, leadership potential, company constraints, internal equity, and other internal factors.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Say-on-Pay</w:t>
      </w:r>
    </w:p>
    <w:p>
      <w:pPr>
        <w:spacing w:after="0" w:line="175" w:lineRule="exact"/>
        <w:rPr>
          <w:sz w:val="20"/>
          <w:szCs w:val="20"/>
          <w:color w:val="auto"/>
        </w:rPr>
      </w:pPr>
    </w:p>
    <w:p>
      <w:pPr>
        <w:ind w:right="100" w:firstLine="445"/>
        <w:spacing w:after="0" w:line="261" w:lineRule="auto"/>
        <w:rPr>
          <w:sz w:val="20"/>
          <w:szCs w:val="20"/>
          <w:color w:val="auto"/>
        </w:rPr>
      </w:pPr>
      <w:r>
        <w:rPr>
          <w:rFonts w:ascii="Times New Roman" w:cs="Times New Roman" w:eastAsia="Times New Roman" w:hAnsi="Times New Roman"/>
          <w:sz w:val="18"/>
          <w:szCs w:val="18"/>
          <w:color w:val="auto"/>
        </w:rPr>
        <w:t>In 2022, stockholders voted, on an advisory basis, to hold an annual advisory vote on the compensation of our named executive officers. Pursuant to that guidance at our 2025 Annual Meeting of Stockholders, our stockholders cast an advisory (non-binding) vote on the compensation of our named executive officers for fiscal year 2024 (the “advisory say-on-pay” proposal). Our stockholders approved the advisory say-on-pay proposal, with 95.17% of the votes cast voting in favor of our executive compensation program.</w:t>
      </w:r>
    </w:p>
    <w:p>
      <w:pPr>
        <w:spacing w:after="0" w:line="207"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Our Human Capital Management Committee reviews our executive compensation program annually, taking into consideration feedback from our stockholders, including the results of our advisory say-on-pay vote, as well as market conditions and input from the Human Capital Management Committee’s independent compensation consultant. Taking into consideration the strong advisory say-on-pay support at our 2025 Annual Meeting of Stockholders, our Human Capital Management Committee decided to retain most of the key features of our executive compensation program during fiscal year 2025.</w:t>
      </w:r>
    </w:p>
    <w:p>
      <w:pPr>
        <w:spacing w:after="0" w:line="210" w:lineRule="exact"/>
        <w:rPr>
          <w:sz w:val="20"/>
          <w:szCs w:val="20"/>
          <w:color w:val="auto"/>
        </w:rPr>
      </w:pPr>
    </w:p>
    <w:p>
      <w:pPr>
        <w:jc w:val="both"/>
        <w:ind w:right="180" w:firstLine="445"/>
        <w:spacing w:after="0" w:line="266" w:lineRule="auto"/>
        <w:rPr>
          <w:sz w:val="20"/>
          <w:szCs w:val="20"/>
          <w:color w:val="auto"/>
        </w:rPr>
      </w:pPr>
      <w:r>
        <w:rPr>
          <w:rFonts w:ascii="Times New Roman" w:cs="Times New Roman" w:eastAsia="Times New Roman" w:hAnsi="Times New Roman"/>
          <w:sz w:val="18"/>
          <w:szCs w:val="18"/>
          <w:color w:val="auto"/>
        </w:rPr>
        <w:t>Our Human Capital Management Committee considers the results of our advisory say-on-pay vote to be an important input in the evaluation of our approach to executive compensation and the effectiveness of our incentive compensation programs, and our Human Capital Management Committee will continue to consider input from our stockholders as reflected in the outcome of our annual advisory say-on-pay vote.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Process for Setting Executive Compensation</w:t>
      </w:r>
    </w:p>
    <w:p>
      <w:pPr>
        <w:spacing w:after="0" w:line="21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Role of the Human Capital Management Committee</w:t>
      </w:r>
    </w:p>
    <w:p>
      <w:pPr>
        <w:spacing w:after="0" w:line="256"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Human Capital Management Committee is appointed by the Board to review and approve annually the compensation of the Company’s executive officers, assist the Board with its responsibilities related to the compensation of the Company’s directors, officers, and employees, and to oversee the development and administration of the Company’s compensation plans. For details regarding the Human Capital Management Committee’s oversight of the executive compensation program, see the section titled “Corporate Governance-Board Composition and Diversity — Human Capital Management Committee” beginning on page 26 of this proxy statement.</w:t>
      </w:r>
    </w:p>
    <w:p>
      <w:pPr>
        <w:spacing w:after="0" w:line="2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Role of Management</w:t>
      </w:r>
    </w:p>
    <w:p>
      <w:pPr>
        <w:spacing w:after="0" w:line="256"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Our Human Capital Management Committee receives support from our executive team and legal counsel in designing our executive compensation program and analyzing competitive market practices. Our Chief Executive Officer and other executives, including our General Counsel and Senior Vice President, Human Resources, regularly participate in Human Capital Management Committee meetings to provide input on our compensation philosophy and objectives. Our Chief Executive Officer also evaluates the performance of our executives and provides recommendations to our Human Capital Management Committee regarding the compensation of our executives, including our named executive officers (other than with respect to his own compensation). None of our executives attend any portion of Human Capital Management Committee meetings at which their compensation is discussed.</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Role of the Compensation Consultant</w:t>
      </w:r>
    </w:p>
    <w:p>
      <w:pPr>
        <w:spacing w:after="0" w:line="256" w:lineRule="exact"/>
        <w:rPr>
          <w:sz w:val="20"/>
          <w:szCs w:val="20"/>
          <w:color w:val="auto"/>
        </w:rPr>
      </w:pPr>
    </w:p>
    <w:p>
      <w:pPr>
        <w:ind w:right="80" w:firstLine="405"/>
        <w:spacing w:after="0" w:line="256" w:lineRule="auto"/>
        <w:rPr>
          <w:sz w:val="20"/>
          <w:szCs w:val="20"/>
          <w:color w:val="auto"/>
        </w:rPr>
      </w:pPr>
      <w:r>
        <w:rPr>
          <w:rFonts w:ascii="Times New Roman" w:cs="Times New Roman" w:eastAsia="Times New Roman" w:hAnsi="Times New Roman"/>
          <w:sz w:val="18"/>
          <w:szCs w:val="18"/>
          <w:color w:val="auto"/>
        </w:rPr>
        <w:t>For the 2025 executive compensation cycle, the Human Capital Management Committee retained Alpine Rewards, LLC. ("Alpine Rewards") to conduct market research and analysis to assist the Committee in developing executive compensation for 2025, including our compensation philosophy, appropriate base salaries and bonus percentages for executives for 2025, and 2025 equity awards for our executives. After consultation with Alpine Rewards, the Human Capital Management Committee determined that Alpine Rewards was independent and that there was no conflict of interest resulting from retaining the firm for these engagements. In reaching these conclusions, the Human Capital Management Committee considered the factors set forth in the SEC rules and Nasdaq listing standards.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Compensation Decision-Making</w:t>
      </w:r>
    </w:p>
    <w:p>
      <w:pPr>
        <w:spacing w:after="0" w:line="229" w:lineRule="exact"/>
        <w:rPr>
          <w:sz w:val="20"/>
          <w:szCs w:val="20"/>
          <w:color w:val="auto"/>
        </w:rPr>
      </w:pPr>
    </w:p>
    <w:p>
      <w:pPr>
        <w:ind w:right="20" w:firstLine="445"/>
        <w:spacing w:after="0" w:line="255" w:lineRule="auto"/>
        <w:rPr>
          <w:sz w:val="20"/>
          <w:szCs w:val="20"/>
          <w:color w:val="auto"/>
        </w:rPr>
      </w:pPr>
      <w:r>
        <w:rPr>
          <w:rFonts w:ascii="Times New Roman" w:cs="Times New Roman" w:eastAsia="Times New Roman" w:hAnsi="Times New Roman"/>
          <w:sz w:val="18"/>
          <w:szCs w:val="18"/>
          <w:color w:val="auto"/>
        </w:rPr>
        <w:t>In setting executive base salaries and bonuses and granting equity incentive awards, the Human Capital Management Committee considers compensation for comparable positions in the market including a review of peer group data, the historical compensation levels of our executives, individual performance as compared to our expectations and objectives, internal pay equity, our desire to motivate our employees to achieve short- and long-term results that are in the best interests of our stockholders and to incentivize a long-term commitment to our Company. The Human Capital Management Committee also considers stockholder advisory votes on executive compensation. In 2024 and 2025 such votes resulted in 95.68% and 96.8%, respectively, of the votes cast approving the compensation paid to the Company’s named executive officers, on an advisory basis. The Human Capital Management Committee believes these stockholder advisory votes indicate strong support for the Company’s executive compensation program.</w:t>
      </w:r>
    </w:p>
    <w:p>
      <w:pPr>
        <w:spacing w:after="0" w:line="189" w:lineRule="exact"/>
        <w:rPr>
          <w:sz w:val="20"/>
          <w:szCs w:val="20"/>
          <w:color w:val="auto"/>
        </w:rPr>
      </w:pPr>
    </w:p>
    <w:p>
      <w:pPr>
        <w:ind w:firstLine="445"/>
        <w:spacing w:after="0" w:line="253" w:lineRule="auto"/>
        <w:rPr>
          <w:sz w:val="20"/>
          <w:szCs w:val="20"/>
          <w:color w:val="auto"/>
        </w:rPr>
      </w:pPr>
      <w:r>
        <w:rPr>
          <w:rFonts w:ascii="Times New Roman" w:cs="Times New Roman" w:eastAsia="Times New Roman" w:hAnsi="Times New Roman"/>
          <w:sz w:val="18"/>
          <w:szCs w:val="18"/>
          <w:color w:val="auto"/>
        </w:rPr>
        <w:t>On an annual basis, the Human Capital Management Committee schedules a series of meetings at which it reviews executive officer compensation. These meetings are used to establish a set of peer companies to use as a benchmark, review market compensation data from those companies as well as data from the biopharmaceutical sector more broadly, obtain input from the Committee’s independent compensation consultant and obtain input from the Chief Executive Officer and the Senior Vice President, Human Resources. The Human Capital Management Committee reviews the peer group annually to ensure that each company remains reasonable and appropriate and makes changes to the constituent companies as necessary. Selection parameters are determined for each review of the peer group based on the Company’s profile at the time of the review and all companies are evaluated against the selection criteria. Companies may be removed from the peer group based on falling outside of the selection parameters or due to being acquired while others may be added based on generally meeting the selection parameters and proximity to the Company in terms of business focus. Ultimately, the Human Capital Management Committee strives to select a group of peer companies that is most closely aligned with the Company in terms of size (market capitalization and employee headcount), therapeutic area and business profile.</w:t>
      </w:r>
    </w:p>
    <w:p>
      <w:pPr>
        <w:spacing w:after="0" w:line="208" w:lineRule="exact"/>
        <w:rPr>
          <w:sz w:val="20"/>
          <w:szCs w:val="20"/>
          <w:color w:val="auto"/>
        </w:rPr>
      </w:pPr>
    </w:p>
    <w:p>
      <w:pPr>
        <w:ind w:right="20" w:firstLine="445"/>
        <w:spacing w:after="0" w:line="242" w:lineRule="auto"/>
        <w:rPr>
          <w:sz w:val="20"/>
          <w:szCs w:val="20"/>
          <w:color w:val="auto"/>
        </w:rPr>
      </w:pPr>
      <w:r>
        <w:rPr>
          <w:rFonts w:ascii="Times New Roman" w:cs="Times New Roman" w:eastAsia="Times New Roman" w:hAnsi="Times New Roman"/>
          <w:sz w:val="18"/>
          <w:szCs w:val="18"/>
          <w:color w:val="auto"/>
        </w:rPr>
        <w:t>In addition, as described above, in late 2024 and early 2025, Alpine Rewards performed an analysis and presented a detailed report to our Human Capital Management Committee and Chief Executive Officer, and made recommendations for our executives’ compensation for 2025. The Chief Executive Officer and the Human Capital Management Committee reviewed and discussed compensation for all executives other than the Chief Executive Officer. The Chief Executive Officer evaluated and provided to the Human Capital Management Committee performance assessments and compensation recommendations for each executive officer</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8" w:name="page39"/>
    <w:bookmarkEnd w:id="38"/>
    <w:p>
      <w:pPr>
        <w:ind w:right="20"/>
        <w:spacing w:after="0" w:line="242" w:lineRule="auto"/>
        <w:rPr>
          <w:sz w:val="20"/>
          <w:szCs w:val="20"/>
          <w:color w:val="auto"/>
        </w:rPr>
      </w:pPr>
      <w:r>
        <w:rPr>
          <w:rFonts w:ascii="Times New Roman" w:cs="Times New Roman" w:eastAsia="Times New Roman" w:hAnsi="Times New Roman"/>
          <w:sz w:val="18"/>
          <w:szCs w:val="18"/>
          <w:color w:val="auto"/>
        </w:rPr>
        <w:t>other than himself. Dr. Koenig was not present for any Human Capital Management Committee discussions regarding his compensation.Similarly, Mr. Risser is not present for any Human Capital Management Committee discussions regarding his compensation.Based on those discussions and its discretion, the Human Capital Management Committee then determined and approved the compensation for each executive officer. MacroGenics’ Senior Vice President, Human Resources was present for a portion of these Human Capital Management Committee discussions and, at the request of the Human Capital Management Committee, supplemented information provided by Alpine Rewards.</w:t>
      </w:r>
    </w:p>
    <w:p>
      <w:pPr>
        <w:spacing w:after="0" w:line="198" w:lineRule="exact"/>
        <w:rPr>
          <w:sz w:val="20"/>
          <w:szCs w:val="20"/>
          <w:color w:val="auto"/>
        </w:rPr>
      </w:pPr>
    </w:p>
    <w:p>
      <w:pPr>
        <w:ind w:right="40" w:firstLine="445"/>
        <w:spacing w:after="0" w:line="258" w:lineRule="auto"/>
        <w:rPr>
          <w:sz w:val="20"/>
          <w:szCs w:val="20"/>
          <w:color w:val="auto"/>
        </w:rPr>
      </w:pPr>
      <w:r>
        <w:rPr>
          <w:rFonts w:ascii="Times New Roman" w:cs="Times New Roman" w:eastAsia="Times New Roman" w:hAnsi="Times New Roman"/>
          <w:sz w:val="18"/>
          <w:szCs w:val="18"/>
          <w:color w:val="auto"/>
        </w:rPr>
        <w:t>Compensation packages for each executive officer are analyzed and discussed by the Human Capital Management Committee at least annually. Prior to that review, Alpine Rewards performed an analysis, considering the goal of market competitiveness. The results of this analysis were presented to the Human Capital Management Committee. The Human Capital Management Committee also considered the executive’s performance and contribution to the Company, internal equity, and other factors. In addition, at any time, the Human Capital Management Committee may request additional information from the Senior Vice President, Human Resources.</w:t>
      </w:r>
    </w:p>
    <w:p>
      <w:pPr>
        <w:spacing w:after="0" w:line="20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Separation Agreement With Dr. Koenig</w:t>
      </w:r>
    </w:p>
    <w:p>
      <w:pPr>
        <w:spacing w:after="0" w:line="256"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On October 25, 2024, we entered into a separation and consulting agreement, dated October 25, 2024, with Dr. Koenig, which was subsequently amended on February 25, 2025 (as amended, the “Separation Agreement”). The Separation Agreement provides for the terms of Dr. Koenig’s separation from employment, which was to be effective upon a separation date no later than February 28, 2025, subsequently extended to a date to be determined by the Board upon fourteen days’ notice to Dr. Koenig (the “Separation Date”), provided that the Separation Agreement permitted Dr. Koenig to revoke his resignation from the Board of Directors upon the request of the incoming Chief Executive Officer of the Company. The Separation Date was August 13, 2025, the effective date of Mr. Risser’s appointment as President and Chief Executive Officer of the Company.</w:t>
      </w:r>
    </w:p>
    <w:p>
      <w:pPr>
        <w:spacing w:after="0" w:line="214"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Under the Separation Agreement and in accordance with the terms of his employment agreement, we agreed to provide Dr. Koenig with the following separation payments and benefits: (i) salary continuation payments, in an aggregate amount equal to his annualized base salary and target bonus amount, each as in effect immediately prior to the Separation Date, payable on the Company’s payroll schedule, commencing on the first payroll run occurring on or after the Separation Date, and continuing for 24 months thereafter, less all applicable taxes and withholdings; (ii) payment on Dr. Koenig’s behalf of the portion of the premiums that the Company had previously paid on his behalf as of the Separation Date for group medical, dental and vision insurance coverage under COBRA until the earlier of 24 months following the Separation Date or the date on which Dr. Koenig becomes eligible to receive equivalent coverage through another employer; (iii) the accelerated vesting of 50% of the unvested stock option awards and restricted stock unit awards granted to Dr. Koenig during his employment outstanding as of the Separation Date; and (iv) a prorated target 2025 annual bonus, to be received in the first payroll run occurring on or after the Separation Date.</w:t>
      </w:r>
    </w:p>
    <w:p>
      <w:pPr>
        <w:spacing w:after="0" w:line="215" w:lineRule="exact"/>
        <w:rPr>
          <w:sz w:val="20"/>
          <w:szCs w:val="20"/>
          <w:color w:val="auto"/>
        </w:rPr>
      </w:pPr>
    </w:p>
    <w:p>
      <w:pPr>
        <w:ind w:right="40" w:firstLine="445"/>
        <w:spacing w:after="0" w:line="256" w:lineRule="auto"/>
        <w:rPr>
          <w:sz w:val="20"/>
          <w:szCs w:val="20"/>
          <w:color w:val="auto"/>
        </w:rPr>
      </w:pPr>
      <w:r>
        <w:rPr>
          <w:rFonts w:ascii="Times New Roman" w:cs="Times New Roman" w:eastAsia="Times New Roman" w:hAnsi="Times New Roman"/>
          <w:sz w:val="18"/>
          <w:szCs w:val="18"/>
          <w:color w:val="auto"/>
        </w:rPr>
        <w:t>Further, the Company agreed to engage Dr. Koenig as an advisor, effective on the Separation Date and continuing until the fifth anniversary of the Separation Date, in exchange for the continued vesting of the remainder of his unvested stock option awards and restricted stock unit awards granted to Dr. Koenig during his employment outstanding as of the Separation Date. Dr. Koenig also agreed to resign from his position as a member of the Board of Directors, effective on the Separation Date, provided that the Separation Agreement permits Dr. Koenig to revoke his resignation from the Board of Directors upon the request of the incoming Chief Executive Officer of the Company. Subsequently, Dr. Koenig revoked his resignation from the Board of Directors and Dr. Koenig continued his service as a Class I director.</w:t>
      </w:r>
    </w:p>
    <w:p>
      <w:pPr>
        <w:spacing w:after="0" w:line="214" w:lineRule="exact"/>
        <w:rPr>
          <w:sz w:val="20"/>
          <w:szCs w:val="20"/>
          <w:color w:val="auto"/>
        </w:rPr>
      </w:pPr>
    </w:p>
    <w:p>
      <w:pPr>
        <w:ind w:right="540" w:firstLine="445"/>
        <w:spacing w:after="0" w:line="282" w:lineRule="auto"/>
        <w:rPr>
          <w:sz w:val="20"/>
          <w:szCs w:val="20"/>
          <w:color w:val="auto"/>
        </w:rPr>
      </w:pPr>
      <w:r>
        <w:rPr>
          <w:rFonts w:ascii="Times New Roman" w:cs="Times New Roman" w:eastAsia="Times New Roman" w:hAnsi="Times New Roman"/>
          <w:sz w:val="18"/>
          <w:szCs w:val="18"/>
          <w:color w:val="auto"/>
        </w:rPr>
        <w:t>Accordingly, in reviewing and evaluating the 2025 performance of the executive officers, the Human Capital Management Committee did not evaluate Dr. Koenig and instead deferred to the terms of the Separation Agreement.</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Evaluation of Individual Performance As Part of Our Process for Setting Executive Compensation</w:t>
      </w:r>
    </w:p>
    <w:p>
      <w:pPr>
        <w:spacing w:after="0" w:line="256" w:lineRule="exact"/>
        <w:rPr>
          <w:sz w:val="20"/>
          <w:szCs w:val="20"/>
          <w:color w:val="auto"/>
        </w:rPr>
      </w:pPr>
    </w:p>
    <w:p>
      <w:pPr>
        <w:ind w:right="180" w:firstLine="445"/>
        <w:spacing w:after="0" w:line="256" w:lineRule="auto"/>
        <w:rPr>
          <w:sz w:val="20"/>
          <w:szCs w:val="20"/>
          <w:color w:val="auto"/>
        </w:rPr>
      </w:pPr>
      <w:r>
        <w:rPr>
          <w:rFonts w:ascii="Times New Roman" w:cs="Times New Roman" w:eastAsia="Times New Roman" w:hAnsi="Times New Roman"/>
          <w:sz w:val="18"/>
          <w:szCs w:val="18"/>
          <w:color w:val="auto"/>
        </w:rPr>
        <w:t>In early 2026, the Chief Executive Officer reviewed and evaluated the 2025 performance of the other executive officers based on the Company’s performance in 2025 and each individual’s achievements in 2025 against their established objectives that had been set early in the year. Based on this evaluation, the Chief Executive Officer made recommendations to the Human Capital Management Committee for each other executive officer regarding base salary adjustments for 2026, bonuses to be paid based on 2025 performance, adjustments to target bonus percentages, if any, and also recommendations for 2026 equity grants. The Human Capital Management Committee discussed recommendations with the Chief Executive Officer and evaluated them in light of each individual’s performance as well as benchmark data provided by Alpine Rewards.</w:t>
      </w:r>
    </w:p>
    <w:p>
      <w:pPr>
        <w:spacing w:after="0" w:line="214" w:lineRule="exact"/>
        <w:rPr>
          <w:sz w:val="20"/>
          <w:szCs w:val="20"/>
          <w:color w:val="auto"/>
        </w:rPr>
      </w:pPr>
    </w:p>
    <w:p>
      <w:pPr>
        <w:ind w:right="160" w:firstLine="445"/>
        <w:spacing w:after="0" w:line="266" w:lineRule="auto"/>
        <w:rPr>
          <w:sz w:val="20"/>
          <w:szCs w:val="20"/>
          <w:color w:val="auto"/>
        </w:rPr>
      </w:pPr>
      <w:r>
        <w:rPr>
          <w:rFonts w:ascii="Times New Roman" w:cs="Times New Roman" w:eastAsia="Times New Roman" w:hAnsi="Times New Roman"/>
          <w:sz w:val="18"/>
          <w:szCs w:val="18"/>
          <w:color w:val="auto"/>
        </w:rPr>
        <w:t>The performance evaluations for each named executive officer other than Mr. Risser were used to determine 2026 base salary adjustments, bonuses to be paid based on 2025 performance, adjustments to target bonus percentages, if any, and 2026 equity grants. For 2025 individual performance, each named executive officer other than Mr. Risser was assessed to have achieved expectations or exceeded expectations.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Peer Group and Market Data</w:t>
      </w:r>
    </w:p>
    <w:p>
      <w:pPr>
        <w:spacing w:after="0" w:line="229"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In conducting its analysis for 2025 compensation, the Human Capital Management Committee directed Alpine to assess the compensation practices of publicly-traded peer companies with a median profile that was substantially similar to that of the Company at the time of review. The peer group was used to set 2025 compensation guidelines, and was constructed from biopharmaceutical companies of a similar size to the Company at the time, by market capitalization ($100M-$1B) and number of employees (less than 600 headcount), prioritizing companies that were focused on oncology therapeutics in the mid- to late-stage of clinical development and commercial companies with comparable levels of revenue from product sales under $150M. This analysis was conducted in late 2024 and resulted in (i) the removal of the following companies from the prior year’s peer group for purposes of establishing the 2025 compensation for our executive officers: Atara Biotherapeutics, Deciphera Pharmaceuticals, Gritstone Bio, Merus, N.V, and NGM Biopharmaceuticals and (ii) the addition of Adaptimmune Therapeutics, Arcus Biosciences, Cogent Biosciences, Fate Therapeutics, iTeos Therapeutics, and Sutro Biopharma. The 2025 peer group analysis for purposes of establishing 2025 compensation resulted in the selection of the following companies: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2seventy bio</w:t>
            </w:r>
          </w:p>
        </w:tc>
        <w:tc>
          <w:tcPr>
            <w:tcW w:w="38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Inovio Pharmaceuticals</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Scholar Rock</w:t>
            </w:r>
          </w:p>
        </w:tc>
        <w:tc>
          <w:tcPr>
            <w:tcW w:w="0" w:type="dxa"/>
            <w:vAlign w:val="bottom"/>
          </w:tcPr>
          <w:p>
            <w:pPr>
              <w:spacing w:after="0"/>
              <w:rPr>
                <w:sz w:val="1"/>
                <w:szCs w:val="1"/>
                <w:color w:val="auto"/>
              </w:rPr>
            </w:pPr>
          </w:p>
        </w:tc>
      </w:tr>
      <w:tr>
        <w:trPr>
          <w:trHeight w:val="191"/>
        </w:trPr>
        <w:tc>
          <w:tcPr>
            <w:tcW w:w="3940" w:type="dxa"/>
            <w:vAlign w:val="bottom"/>
            <w:vMerge w:val="continue"/>
            <w:shd w:val="clear" w:color="auto" w:fill="CCEEFF"/>
          </w:tcPr>
          <w:p>
            <w:pPr>
              <w:spacing w:after="0"/>
              <w:rPr>
                <w:sz w:val="16"/>
                <w:szCs w:val="16"/>
                <w:color w:val="auto"/>
              </w:rPr>
            </w:pPr>
          </w:p>
        </w:tc>
        <w:tc>
          <w:tcPr>
            <w:tcW w:w="3840" w:type="dxa"/>
            <w:vAlign w:val="bottom"/>
            <w:vMerge w:val="continue"/>
            <w:shd w:val="clear" w:color="auto" w:fill="CCEEFF"/>
          </w:tcPr>
          <w:p>
            <w:pPr>
              <w:spacing w:after="0"/>
              <w:rPr>
                <w:sz w:val="16"/>
                <w:szCs w:val="16"/>
                <w:color w:val="auto"/>
              </w:rPr>
            </w:pPr>
          </w:p>
        </w:tc>
        <w:tc>
          <w:tcPr>
            <w:tcW w:w="3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Adaptimmune Therapeutics</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iTeos Therapeutics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Sutro Biopharma</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Agenus, Inc.</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Karyopharm Therapeutics</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Xencor, Inc.</w:t>
            </w:r>
          </w:p>
        </w:tc>
        <w:tc>
          <w:tcPr>
            <w:tcW w:w="0" w:type="dxa"/>
            <w:vAlign w:val="bottom"/>
          </w:tcPr>
          <w:p>
            <w:pPr>
              <w:spacing w:after="0"/>
              <w:rPr>
                <w:sz w:val="1"/>
                <w:szCs w:val="1"/>
                <w:color w:val="auto"/>
              </w:rPr>
            </w:pPr>
          </w:p>
        </w:tc>
      </w:tr>
      <w:tr>
        <w:trPr>
          <w:trHeight w:val="229"/>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Arcus Biosciences</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Mersana Therapeutics</w:t>
            </w:r>
          </w:p>
        </w:tc>
        <w:tc>
          <w:tcPr>
            <w:tcW w:w="3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Y-mAbs Therapeutics</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Cogent Biosciences</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Precigen</w:t>
            </w:r>
          </w:p>
        </w:tc>
        <w:tc>
          <w:tcPr>
            <w:tcW w:w="3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Zymeworks, Inc.</w:t>
            </w:r>
          </w:p>
        </w:tc>
        <w:tc>
          <w:tcPr>
            <w:tcW w:w="0" w:type="dxa"/>
            <w:vAlign w:val="bottom"/>
          </w:tcPr>
          <w:p>
            <w:pPr>
              <w:spacing w:after="0"/>
              <w:rPr>
                <w:sz w:val="1"/>
                <w:szCs w:val="1"/>
                <w:color w:val="auto"/>
              </w:rPr>
            </w:pPr>
          </w:p>
        </w:tc>
      </w:tr>
      <w:tr>
        <w:trPr>
          <w:trHeight w:val="229"/>
        </w:trPr>
        <w:tc>
          <w:tcPr>
            <w:tcW w:w="3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Fate Therapeutics</w:t>
            </w:r>
          </w:p>
        </w:tc>
        <w:tc>
          <w:tcPr>
            <w:tcW w:w="3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REGENXBIO</w:t>
            </w:r>
          </w:p>
        </w:tc>
        <w:tc>
          <w:tcPr>
            <w:tcW w:w="3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G1 Therapeutics</w:t>
            </w:r>
          </w:p>
        </w:tc>
        <w:tc>
          <w:tcPr>
            <w:tcW w:w="3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Rigel Pharmaceuticals</w:t>
            </w:r>
          </w:p>
        </w:tc>
        <w:tc>
          <w:tcPr>
            <w:tcW w:w="3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In addition, the Human Capital Management Committee reviewed broader market compensation survey data from Aon's Global Life Sciences survey reflecting companies of similar size, both in terms of market capitalization and number of employees, operating in the biopharmaceutical industry. The analysis of the peer companies above and this additional market data were used in determining salary, non-equity compensation targets and equity awards for 2025, including in confirming that compensation was competitive both in terms of each element of compensation and total compensation.</w:t>
      </w:r>
    </w:p>
    <w:p>
      <w:pPr>
        <w:spacing w:after="0" w:line="180" w:lineRule="exact"/>
        <w:rPr>
          <w:sz w:val="20"/>
          <w:szCs w:val="20"/>
          <w:color w:val="auto"/>
        </w:rPr>
      </w:pPr>
    </w:p>
    <w:p>
      <w:pPr>
        <w:ind w:right="160" w:firstLine="445"/>
        <w:spacing w:after="0" w:line="261" w:lineRule="auto"/>
        <w:rPr>
          <w:sz w:val="20"/>
          <w:szCs w:val="20"/>
          <w:color w:val="auto"/>
        </w:rPr>
      </w:pPr>
      <w:r>
        <w:rPr>
          <w:rFonts w:ascii="Times New Roman" w:cs="Times New Roman" w:eastAsia="Times New Roman" w:hAnsi="Times New Roman"/>
          <w:sz w:val="18"/>
          <w:szCs w:val="18"/>
          <w:color w:val="auto"/>
        </w:rPr>
        <w:t>Market data is used to determine whether a named executive officer’s salary, bonus opportunity and equity incentives are competitive both in terms of each element of compensation and total compensation. When setting the compensation structure for the named executive officers for 2025, Alpine prepared an extensive analysis of compensation-related data specific to the life science industry and recommendations to review prior to making any compensation decisions.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160" w:firstLine="445"/>
        <w:spacing w:after="0" w:line="258" w:lineRule="auto"/>
        <w:rPr>
          <w:sz w:val="20"/>
          <w:szCs w:val="20"/>
          <w:color w:val="auto"/>
        </w:rPr>
      </w:pPr>
      <w:r>
        <w:rPr>
          <w:rFonts w:ascii="Times New Roman" w:cs="Times New Roman" w:eastAsia="Times New Roman" w:hAnsi="Times New Roman"/>
          <w:sz w:val="18"/>
          <w:szCs w:val="18"/>
          <w:color w:val="auto"/>
        </w:rPr>
        <w:t>The Human Capital Management Committee believes that the most effective compensation program is one that provides a competitive base salary, rewards the achievement of established annual and long-term goals and objectives and provides an incentive for retention. For this reason, the compensation program is comprised of three primary elements: base salary, a performance-based cash incentive bonus program and equity awards. The Human Capital Management Committee believes that these three elements are the most effective combination to motivate and retain the named executive officers.</w:t>
      </w:r>
    </w:p>
    <w:p>
      <w:pPr>
        <w:spacing w:after="0" w:line="183" w:lineRule="exact"/>
        <w:rPr>
          <w:sz w:val="20"/>
          <w:szCs w:val="20"/>
          <w:color w:val="auto"/>
        </w:rPr>
      </w:pPr>
    </w:p>
    <w:p>
      <w:pPr>
        <w:ind w:right="40" w:firstLine="445"/>
        <w:spacing w:after="0" w:line="261" w:lineRule="auto"/>
        <w:rPr>
          <w:sz w:val="20"/>
          <w:szCs w:val="20"/>
          <w:color w:val="auto"/>
        </w:rPr>
      </w:pPr>
      <w:r>
        <w:rPr>
          <w:rFonts w:ascii="Times New Roman" w:cs="Times New Roman" w:eastAsia="Times New Roman" w:hAnsi="Times New Roman"/>
          <w:sz w:val="18"/>
          <w:szCs w:val="18"/>
          <w:color w:val="auto"/>
        </w:rPr>
        <w:t>The Human Capital Management Committee has not adopted any formal guidelines for allocating total compensation between equity compensation and cash compensation, but generally seeks to provide an overall executive compensation package designed to attract, motivate, and retain highly qualified executive officers, to reward them for performance over time, and to align the interests of the named executive officers with the interests of the stockholders.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56" w:lineRule="exact"/>
        <w:rPr>
          <w:sz w:val="20"/>
          <w:szCs w:val="20"/>
          <w:color w:val="auto"/>
        </w:rPr>
      </w:pPr>
    </w:p>
    <w:p>
      <w:pPr>
        <w:ind w:right="60" w:firstLine="445"/>
        <w:spacing w:after="0" w:line="254" w:lineRule="auto"/>
        <w:rPr>
          <w:sz w:val="20"/>
          <w:szCs w:val="20"/>
          <w:color w:val="auto"/>
        </w:rPr>
      </w:pPr>
      <w:r>
        <w:rPr>
          <w:rFonts w:ascii="Times New Roman" w:cs="Times New Roman" w:eastAsia="Times New Roman" w:hAnsi="Times New Roman"/>
          <w:sz w:val="18"/>
          <w:szCs w:val="18"/>
          <w:color w:val="auto"/>
        </w:rPr>
        <w:t>The Human Capital Management Committee’s philosophy is to maintain base salaries at a competitive level sufficient to recruit and retain individuals possessing the skills and capabilities necessary to achieve the Company’s goals over the long-term. The Company provides an annual salary to each named executive officer designed to reflect that person’s level of responsibility, expertise, skills, knowledge, and experience. When determining 2025 base salaries, the Human Capital Management Committee considered each named executive officer’s performance in light of the individual’s 2024 performance and achievement of Company objectives, as well as the peer group data described above, and made adjustments, as appropriate, to assist the Company in retaining this expertise, skill, and knowledge at the Company. These base salary increases for fiscal year 2025 were effective as of February 17, 2025, other than with respect to Mr. Risser’s base salary for his role as our President and Chief Executive Officer, which became effective as of August 13, 2025.</w:t>
      </w:r>
    </w:p>
    <w:p>
      <w:pPr>
        <w:sectPr>
          <w:pgSz w:w="11900" w:h="16838" w:orient="portrait"/>
          <w:cols w:equalWidth="0" w:num="1">
            <w:col w:w="11220"/>
          </w:cols>
          <w:pgMar w:left="320" w:top="981" w:right="359" w:bottom="144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type w:val="continuous"/>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6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The 2025 base salaries for the named executive officers were:</w:t>
            </w:r>
          </w:p>
        </w:tc>
        <w:tc>
          <w:tcPr>
            <w:tcW w:w="1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6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 Increase in Base</w:t>
            </w:r>
          </w:p>
        </w:tc>
        <w:tc>
          <w:tcPr>
            <w:tcW w:w="0" w:type="dxa"/>
            <w:vAlign w:val="bottom"/>
          </w:tcPr>
          <w:p>
            <w:pPr>
              <w:spacing w:after="0"/>
              <w:rPr>
                <w:sz w:val="1"/>
                <w:szCs w:val="1"/>
                <w:color w:val="auto"/>
              </w:rPr>
            </w:pPr>
          </w:p>
        </w:tc>
      </w:tr>
      <w:tr>
        <w:trPr>
          <w:trHeight w:val="184"/>
        </w:trPr>
        <w:tc>
          <w:tcPr>
            <w:tcW w:w="6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Base Salary ($)</w:t>
            </w:r>
          </w:p>
        </w:tc>
        <w:tc>
          <w:tcPr>
            <w:tcW w:w="22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Salary from December 31,</w:t>
            </w:r>
          </w:p>
        </w:tc>
        <w:tc>
          <w:tcPr>
            <w:tcW w:w="0" w:type="dxa"/>
            <w:vAlign w:val="bottom"/>
          </w:tcPr>
          <w:p>
            <w:pPr>
              <w:spacing w:after="0"/>
              <w:rPr>
                <w:sz w:val="1"/>
                <w:szCs w:val="1"/>
                <w:color w:val="auto"/>
              </w:rPr>
            </w:pPr>
          </w:p>
        </w:tc>
      </w:tr>
      <w:tr>
        <w:trPr>
          <w:trHeight w:val="229"/>
        </w:trPr>
        <w:tc>
          <w:tcPr>
            <w:tcW w:w="6880" w:type="dxa"/>
            <w:vAlign w:val="bottom"/>
            <w:gridSpan w:val="2"/>
            <w:vMerge w:val="continue"/>
          </w:tcPr>
          <w:p>
            <w:pPr>
              <w:spacing w:after="0"/>
              <w:rPr>
                <w:sz w:val="19"/>
                <w:szCs w:val="19"/>
                <w:color w:val="auto"/>
              </w:rPr>
            </w:pPr>
          </w:p>
        </w:tc>
        <w:tc>
          <w:tcPr>
            <w:tcW w:w="2120" w:type="dxa"/>
            <w:vAlign w:val="bottom"/>
            <w:gridSpan w:val="2"/>
            <w:vMerge w:val="continue"/>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2024 (%)</w:t>
            </w:r>
          </w:p>
        </w:tc>
        <w:tc>
          <w:tcPr>
            <w:tcW w:w="0" w:type="dxa"/>
            <w:vAlign w:val="bottom"/>
          </w:tcPr>
          <w:p>
            <w:pPr>
              <w:spacing w:after="0"/>
              <w:rPr>
                <w:sz w:val="1"/>
                <w:szCs w:val="1"/>
                <w:color w:val="auto"/>
              </w:rPr>
            </w:pPr>
          </w:p>
        </w:tc>
      </w:tr>
      <w:tr>
        <w:trPr>
          <w:trHeight w:val="223"/>
        </w:trPr>
        <w:tc>
          <w:tcPr>
            <w:tcW w:w="6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 (1)</w:t>
            </w:r>
          </w:p>
        </w:tc>
        <w:tc>
          <w:tcPr>
            <w:tcW w:w="3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38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29"/>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Koenig, M.D., Ph.D. (2)</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738,400</w:t>
            </w:r>
          </w:p>
        </w:tc>
        <w:tc>
          <w:tcPr>
            <w:tcW w:w="38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29"/>
        </w:trPr>
        <w:tc>
          <w:tcPr>
            <w:tcW w:w="6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535,600</w:t>
            </w:r>
          </w:p>
        </w:tc>
        <w:tc>
          <w:tcPr>
            <w:tcW w:w="38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4"/>
        </w:trPr>
        <w:tc>
          <w:tcPr>
            <w:tcW w:w="6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508,830</w:t>
            </w:r>
          </w:p>
        </w:tc>
        <w:tc>
          <w:tcPr>
            <w:tcW w:w="38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340" w:right="80" w:hanging="332"/>
        <w:spacing w:after="0" w:line="257" w:lineRule="auto"/>
        <w:tabs>
          <w:tab w:leader="none" w:pos="40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Risser was promoted to President and Chief Executive Officer effective August 13, 2025. Prior to August 13, 2025, Mr. Risser served as our Chief Operating Officer. Mr. Risser’s base salary increased by 3% in February 2025 as a result of his annual increase and increased in August 2025 by 17.9% as a result of his promotion.</w:t>
      </w:r>
    </w:p>
    <w:p>
      <w:pPr>
        <w:spacing w:after="0" w:line="1"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 served as President and Chief Executive Officer until August 13, 2025.</w:t>
      </w:r>
    </w:p>
    <w:p>
      <w:pPr>
        <w:spacing w:after="0" w:line="202"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Annual Incentive Cash Bonus</w:t>
      </w:r>
    </w:p>
    <w:p>
      <w:pPr>
        <w:spacing w:after="0" w:line="229" w:lineRule="exact"/>
        <w:rPr>
          <w:sz w:val="20"/>
          <w:szCs w:val="20"/>
          <w:color w:val="auto"/>
        </w:rPr>
      </w:pPr>
    </w:p>
    <w:p>
      <w:pPr>
        <w:ind w:right="40" w:firstLine="445"/>
        <w:spacing w:after="0" w:line="254" w:lineRule="auto"/>
        <w:rPr>
          <w:sz w:val="20"/>
          <w:szCs w:val="20"/>
          <w:color w:val="auto"/>
        </w:rPr>
      </w:pPr>
      <w:r>
        <w:rPr>
          <w:rFonts w:ascii="Times New Roman" w:cs="Times New Roman" w:eastAsia="Times New Roman" w:hAnsi="Times New Roman"/>
          <w:sz w:val="18"/>
          <w:szCs w:val="18"/>
          <w:color w:val="auto"/>
        </w:rPr>
        <w:t>Our bonus plan is designed to motivate and reward our executives for achievements relative to our goals and expectations for each fiscal year. Each executive officer has a target bonus opportunity, defined as a percentage of his or her earned base salary. Following the end of each year, our Human Capital Management Committee, in its discretion, determines bonuses. Material considerations in determining bonuses include the overall performance of the Company, the level of achievement of the corporate objectives for the year, an executive officer’s performance against his or her individual objectives for the year, and the executive’s handling of unplanned events and opportunities. The Human Capital Management Committee considers the Chief Executive Officer’s input with respect to the Company’s performance against our established corporate objectives. Based on these factors and the judgment of our Human Capital Management Committee, we approved the bonuses in the table in the section "2025 Individual Performance Objectives" below for our named executive officers for the fiscal year ended December 31, 2025.</w:t>
      </w:r>
    </w:p>
    <w:p>
      <w:pPr>
        <w:spacing w:after="0" w:line="192"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The target bonus is set as a percentage of the named executive officer’s base salary, with such percentages being evaluated in the context of market data as described above. The Human Capital Management Committee believes that the higher the individual’s position within the Company, the more closely his or her bonus award should be tied to the Company’s success. For each of the named executive officers, other than the Chief Executive Officer, 80% of the target bonus was based on corporate achievement and 20% of the target bonus was based on individual performance, with a cap of 150% on the individual performance component. The Human Capital Management Committee chose this allocation because it believed that this recognized the need for the other executive officers to have a substantial portion of their compensation tied to Company performance, while also recognizing the need to focus and incentivize executive officers to achieve their individual performance goals. In contrast, given their senior role at the Company, the Human Capital Management Committee believed that 100% of the Chief Executive Officer’s bonus compensation should be tied to Company performance, since they are ultimately responsible for the performance of all aspects of the Company’s business. The Human Capital Management Committee assesses the split between corporate achievement and individual performance on a periodic basis. The Human Capital Management Committee retains the discretion to make adjustments to the calculated bonus based on unexpected or unplanned events, the overall financial condition of the Company, extraordinary performance or underperformance or other individual or corporate factors.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Company Performance Objectives</w:t>
      </w:r>
    </w:p>
    <w:p>
      <w:pPr>
        <w:spacing w:after="0" w:line="229" w:lineRule="exact"/>
        <w:rPr>
          <w:sz w:val="20"/>
          <w:szCs w:val="20"/>
          <w:color w:val="auto"/>
        </w:rPr>
      </w:pPr>
    </w:p>
    <w:p>
      <w:pPr>
        <w:ind w:right="540" w:firstLine="445"/>
        <w:spacing w:after="0" w:line="261" w:lineRule="auto"/>
        <w:rPr>
          <w:sz w:val="20"/>
          <w:szCs w:val="20"/>
          <w:color w:val="auto"/>
        </w:rPr>
      </w:pPr>
      <w:r>
        <w:rPr>
          <w:rFonts w:ascii="Times New Roman" w:cs="Times New Roman" w:eastAsia="Times New Roman" w:hAnsi="Times New Roman"/>
          <w:sz w:val="18"/>
          <w:szCs w:val="18"/>
          <w:color w:val="auto"/>
        </w:rPr>
        <w:t>With regard to evaluating Company performance, in late 2024, the Human Capital Management Committee, with management’s input and recommendation, reviewed and approved a set of Company objectives for 2025. In setting the 2025 objectives, the Board sought to create targets for management that the Human Capital Management Committee believed were consistent with the Company’s long-term strategic plan and in the best interests of stockholders.</w:t>
      </w:r>
    </w:p>
    <w:p>
      <w:pPr>
        <w:spacing w:after="0" w:line="180" w:lineRule="exact"/>
        <w:rPr>
          <w:sz w:val="20"/>
          <w:szCs w:val="20"/>
          <w:color w:val="auto"/>
        </w:rPr>
      </w:pPr>
    </w:p>
    <w:p>
      <w:pPr>
        <w:ind w:right="20" w:firstLine="445"/>
        <w:spacing w:after="0" w:line="254" w:lineRule="auto"/>
        <w:rPr>
          <w:sz w:val="20"/>
          <w:szCs w:val="20"/>
          <w:color w:val="auto"/>
        </w:rPr>
      </w:pPr>
      <w:r>
        <w:rPr>
          <w:rFonts w:ascii="Times New Roman" w:cs="Times New Roman" w:eastAsia="Times New Roman" w:hAnsi="Times New Roman"/>
          <w:sz w:val="18"/>
          <w:szCs w:val="18"/>
          <w:color w:val="auto"/>
        </w:rPr>
        <w:t>The 2025 company performance objectives were divided into four categories labeled as Clinical, Emerging Pipeline, Financial, and Compliance &amp; Employee Engagement. The Clinical objectives related to advancing clinical-stage programs in accordance with planned timing for each ongoing clinical trial, or planned initiation of a clinical trial, or to completion of enrollment or initiation of enrollment, depending on the trial. The Emerging Pipeline objectives related to the identification and pre-clinical testing of new molecules for potential clinical testing in 2026 and beyond, consistent with the Company’s long-term strategic objectives. The Financial objectives related to optimizing revenue and expense management, executing on business development collaborations and new agreements, and extending the cash runway. The Compliance &amp; Employee Engagement objectives related to the management and stewardship of the Company’s corporate compliance responsibilities and the Company's employee engagement and talent management. In evaluating overall performance, Clinical objectives were given a 50% weighting, Emerging Pipeline objectives were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41" w:name="page42"/>
    <w:bookmarkEnd w:id="41"/>
    <w:p>
      <w:pPr>
        <w:ind w:right="680"/>
        <w:spacing w:after="0" w:line="282" w:lineRule="auto"/>
        <w:rPr>
          <w:sz w:val="20"/>
          <w:szCs w:val="20"/>
          <w:color w:val="auto"/>
        </w:rPr>
      </w:pPr>
      <w:r>
        <w:rPr>
          <w:rFonts w:ascii="Times New Roman" w:cs="Times New Roman" w:eastAsia="Times New Roman" w:hAnsi="Times New Roman"/>
          <w:sz w:val="18"/>
          <w:szCs w:val="18"/>
          <w:color w:val="auto"/>
        </w:rPr>
        <w:t>given a 20% weighting, Financial objectives were given a 25% weighting, and Compliance &amp; Employee Engagement objectives were given a 5% weighting.</w:t>
      </w:r>
    </w:p>
    <w:p>
      <w:pPr>
        <w:spacing w:after="0" w:line="162" w:lineRule="exact"/>
        <w:rPr>
          <w:sz w:val="20"/>
          <w:szCs w:val="20"/>
          <w:color w:val="auto"/>
        </w:rPr>
      </w:pPr>
    </w:p>
    <w:p>
      <w:pPr>
        <w:ind w:firstLine="445"/>
        <w:spacing w:after="0" w:line="261" w:lineRule="auto"/>
        <w:rPr>
          <w:sz w:val="20"/>
          <w:szCs w:val="20"/>
          <w:color w:val="auto"/>
        </w:rPr>
      </w:pPr>
      <w:r>
        <w:rPr>
          <w:rFonts w:ascii="Times New Roman" w:cs="Times New Roman" w:eastAsia="Times New Roman" w:hAnsi="Times New Roman"/>
          <w:sz w:val="18"/>
          <w:szCs w:val="18"/>
          <w:color w:val="auto"/>
        </w:rPr>
        <w:t>In making its assessments of performance at the end of the year, the Board, through the Human Capital Management Committee determined that the Clinical objectives had been partially met, the Emerging Pipeline objectives had been partially met, the Financial objectives had been partially met, and the Compliance &amp; Employee Engagement objectives had been substantially met. Given the weighting of each category, in the aggregate, the Human Capital Management Committee determined that the Company had achieved 85% of the 100% target against these objectives.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Individual Performance Objectives</w:t>
      </w:r>
    </w:p>
    <w:p>
      <w:pPr>
        <w:spacing w:after="0" w:line="229" w:lineRule="exact"/>
        <w:rPr>
          <w:sz w:val="20"/>
          <w:szCs w:val="20"/>
          <w:color w:val="auto"/>
        </w:rPr>
      </w:pPr>
    </w:p>
    <w:p>
      <w:pPr>
        <w:ind w:right="100" w:firstLine="445"/>
        <w:spacing w:after="0" w:line="258" w:lineRule="auto"/>
        <w:rPr>
          <w:sz w:val="20"/>
          <w:szCs w:val="20"/>
          <w:color w:val="auto"/>
        </w:rPr>
      </w:pPr>
      <w:r>
        <w:rPr>
          <w:rFonts w:ascii="Times New Roman" w:cs="Times New Roman" w:eastAsia="Times New Roman" w:hAnsi="Times New Roman"/>
          <w:sz w:val="18"/>
          <w:szCs w:val="18"/>
          <w:color w:val="auto"/>
        </w:rPr>
        <w:t>The individual objectives for each of the named executive officers, other than Dr. Koenig, were established between each such named executive officer and the Chief Executive Officer during 2025. These objectives were established, in the Chief Executive Officer’s judgment, to provide the greatest opportunity for the Company to meet its annual and long-term objectives. At the end of the year, the Chief Executive Officer, along with the Human Capital Management Committee, evaluated the performance of each such named executive officer and assigned an achievement percentage against the individual objectives for each such named executive officer.</w:t>
      </w:r>
    </w:p>
    <w:p>
      <w:pPr>
        <w:spacing w:after="0" w:line="183" w:lineRule="exact"/>
        <w:rPr>
          <w:sz w:val="20"/>
          <w:szCs w:val="20"/>
          <w:color w:val="auto"/>
        </w:rPr>
      </w:pPr>
    </w:p>
    <w:p>
      <w:pPr>
        <w:ind w:right="480" w:firstLine="445"/>
        <w:spacing w:after="0" w:line="271" w:lineRule="auto"/>
        <w:rPr>
          <w:sz w:val="20"/>
          <w:szCs w:val="20"/>
          <w:color w:val="auto"/>
        </w:rPr>
      </w:pPr>
      <w:r>
        <w:rPr>
          <w:rFonts w:ascii="Times New Roman" w:cs="Times New Roman" w:eastAsia="Times New Roman" w:hAnsi="Times New Roman"/>
          <w:sz w:val="18"/>
          <w:szCs w:val="18"/>
          <w:color w:val="auto"/>
        </w:rPr>
        <w:t>For 2025, the bonus targets for each named executive officer, each individual’s achievement against those targets and the amount paid to those individuals were as follows:</w:t>
      </w:r>
    </w:p>
    <w:tbl>
      <w:tblPr>
        <w:tblLayout w:type="fixed"/>
        <w:tblInd w:w="60" w:type="dxa"/>
        <w:tblCellMar>
          <w:top w:w="0" w:type="dxa"/>
          <w:left w:w="0" w:type="dxa"/>
          <w:bottom w:w="0" w:type="dxa"/>
          <w:right w:w="0" w:type="dxa"/>
        </w:tblCellMar>
      </w:tblPr>
      <w:tr>
        <w:trPr>
          <w:trHeight w:val="185"/>
        </w:trPr>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Target Bonus</w:t>
            </w:r>
          </w:p>
        </w:tc>
        <w:tc>
          <w:tcPr>
            <w:tcW w:w="14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Target Bonus</w:t>
            </w:r>
          </w:p>
        </w:tc>
        <w:tc>
          <w:tcPr>
            <w:tcW w:w="1640" w:type="dxa"/>
            <w:vAlign w:val="bottom"/>
            <w:gridSpan w:val="2"/>
          </w:tcPr>
          <w:p>
            <w:pPr>
              <w:jc w:val="center"/>
              <w:ind w:right="240"/>
              <w:spacing w:after="0" w:line="185" w:lineRule="exact"/>
              <w:rPr>
                <w:sz w:val="20"/>
                <w:szCs w:val="20"/>
                <w:color w:val="auto"/>
              </w:rPr>
            </w:pPr>
            <w:r>
              <w:rPr>
                <w:rFonts w:ascii="Times New Roman" w:cs="Times New Roman" w:eastAsia="Times New Roman" w:hAnsi="Times New Roman"/>
                <w:sz w:val="18"/>
                <w:szCs w:val="18"/>
                <w:b w:val="1"/>
                <w:bCs w:val="1"/>
                <w:color w:val="auto"/>
                <w:w w:val="99"/>
              </w:rPr>
              <w:t>Performance</w:t>
            </w:r>
          </w:p>
        </w:tc>
        <w:tc>
          <w:tcPr>
            <w:tcW w:w="1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Bonus Amount</w:t>
            </w:r>
          </w:p>
        </w:tc>
        <w:tc>
          <w:tcPr>
            <w:tcW w:w="0" w:type="dxa"/>
            <w:vAlign w:val="bottom"/>
          </w:tcPr>
          <w:p>
            <w:pPr>
              <w:spacing w:after="0"/>
              <w:rPr>
                <w:sz w:val="1"/>
                <w:szCs w:val="1"/>
                <w:color w:val="auto"/>
              </w:rPr>
            </w:pPr>
          </w:p>
        </w:tc>
      </w:tr>
      <w:tr>
        <w:trPr>
          <w:trHeight w:val="176"/>
        </w:trPr>
        <w:tc>
          <w:tcPr>
            <w:tcW w:w="4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120" w:type="dxa"/>
            <w:vAlign w:val="bottom"/>
            <w:gridSpan w:val="2"/>
            <w:vMerge w:val="continue"/>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164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Achievement for</w:t>
            </w:r>
          </w:p>
        </w:tc>
        <w:tc>
          <w:tcPr>
            <w:tcW w:w="1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140" w:type="dxa"/>
            <w:vAlign w:val="bottom"/>
            <w:gridSpan w:val="2"/>
            <w:vMerge w:val="continue"/>
          </w:tcPr>
          <w:p>
            <w:pPr>
              <w:spacing w:after="0"/>
              <w:rPr>
                <w:sz w:val="21"/>
                <w:szCs w:val="21"/>
                <w:color w:val="auto"/>
              </w:rPr>
            </w:pPr>
          </w:p>
        </w:tc>
        <w:tc>
          <w:tcPr>
            <w:tcW w:w="21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Percentage (%) (1)</w:t>
            </w: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 (2)</w:t>
            </w:r>
          </w:p>
        </w:tc>
        <w:tc>
          <w:tcPr>
            <w:tcW w:w="220" w:type="dxa"/>
            <w:vAlign w:val="bottom"/>
          </w:tcPr>
          <w:p>
            <w:pPr>
              <w:spacing w:after="0"/>
              <w:rPr>
                <w:sz w:val="21"/>
                <w:szCs w:val="21"/>
                <w:color w:val="auto"/>
              </w:rPr>
            </w:pPr>
          </w:p>
        </w:tc>
        <w:tc>
          <w:tcPr>
            <w:tcW w:w="148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Paid ($) (3)</w:t>
            </w:r>
          </w:p>
        </w:tc>
        <w:tc>
          <w:tcPr>
            <w:tcW w:w="0" w:type="dxa"/>
            <w:vAlign w:val="bottom"/>
          </w:tcPr>
          <w:p>
            <w:pPr>
              <w:spacing w:after="0"/>
              <w:rPr>
                <w:sz w:val="1"/>
                <w:szCs w:val="1"/>
                <w:color w:val="auto"/>
              </w:rPr>
            </w:pPr>
          </w:p>
        </w:tc>
      </w:tr>
      <w:tr>
        <w:trPr>
          <w:trHeight w:val="223"/>
        </w:trPr>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 (4)</w:t>
            </w:r>
          </w:p>
        </w:tc>
        <w:tc>
          <w:tcPr>
            <w:tcW w:w="24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291,719</w:t>
            </w:r>
          </w:p>
        </w:tc>
        <w:tc>
          <w:tcPr>
            <w:tcW w:w="2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251,900</w:t>
            </w:r>
          </w:p>
        </w:tc>
        <w:tc>
          <w:tcPr>
            <w:tcW w:w="0" w:type="dxa"/>
            <w:vAlign w:val="bottom"/>
          </w:tcPr>
          <w:p>
            <w:pPr>
              <w:spacing w:after="0"/>
              <w:rPr>
                <w:sz w:val="1"/>
                <w:szCs w:val="1"/>
                <w:color w:val="auto"/>
              </w:rPr>
            </w:pPr>
          </w:p>
        </w:tc>
      </w:tr>
      <w:tr>
        <w:trPr>
          <w:trHeight w:val="229"/>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Koenig, M.D., Ph.D. (5)</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443,040</w:t>
            </w:r>
          </w:p>
        </w:tc>
        <w:tc>
          <w:tcPr>
            <w:tcW w:w="240" w:type="dxa"/>
            <w:vAlign w:val="bottom"/>
          </w:tcPr>
          <w:p>
            <w:pPr>
              <w:spacing w:after="0"/>
              <w:rPr>
                <w:sz w:val="19"/>
                <w:szCs w:val="19"/>
                <w:color w:val="auto"/>
              </w:rPr>
            </w:pPr>
          </w:p>
        </w:tc>
        <w:tc>
          <w:tcPr>
            <w:tcW w:w="16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6"/>
              </w:rPr>
              <w:t>N/A</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273,107</w:t>
            </w:r>
          </w:p>
        </w:tc>
        <w:tc>
          <w:tcPr>
            <w:tcW w:w="0" w:type="dxa"/>
            <w:vAlign w:val="bottom"/>
          </w:tcPr>
          <w:p>
            <w:pPr>
              <w:spacing w:after="0"/>
              <w:rPr>
                <w:sz w:val="1"/>
                <w:szCs w:val="1"/>
                <w:color w:val="auto"/>
              </w:rPr>
            </w:pPr>
          </w:p>
        </w:tc>
      </w:tr>
      <w:tr>
        <w:trPr>
          <w:trHeight w:val="229"/>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1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214,240</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184,200</w:t>
            </w:r>
          </w:p>
        </w:tc>
        <w:tc>
          <w:tcPr>
            <w:tcW w:w="0" w:type="dxa"/>
            <w:vAlign w:val="bottom"/>
          </w:tcPr>
          <w:p>
            <w:pPr>
              <w:spacing w:after="0"/>
              <w:rPr>
                <w:sz w:val="1"/>
                <w:szCs w:val="1"/>
                <w:color w:val="auto"/>
              </w:rPr>
            </w:pPr>
          </w:p>
        </w:tc>
      </w:tr>
      <w:tr>
        <w:trPr>
          <w:trHeight w:val="234"/>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1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203,532</w:t>
            </w:r>
          </w:p>
        </w:tc>
        <w:tc>
          <w:tcPr>
            <w:tcW w:w="24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w:t>
            </w:r>
          </w:p>
        </w:tc>
        <w:tc>
          <w:tcPr>
            <w:tcW w:w="2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440" w:hanging="392"/>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bonus percentages are set as a percentage of the named executive officer’s base salary.</w:t>
      </w:r>
    </w:p>
    <w:p>
      <w:pPr>
        <w:spacing w:after="0" w:line="27" w:lineRule="exact"/>
        <w:rPr>
          <w:rFonts w:ascii="Times New Roman" w:cs="Times New Roman" w:eastAsia="Times New Roman" w:hAnsi="Times New Roman"/>
          <w:sz w:val="18"/>
          <w:szCs w:val="18"/>
          <w:color w:val="auto"/>
        </w:rPr>
      </w:pPr>
    </w:p>
    <w:p>
      <w:pPr>
        <w:ind w:left="460" w:right="20" w:hanging="412"/>
        <w:spacing w:after="0" w:line="255" w:lineRule="auto"/>
        <w:tabs>
          <w:tab w:leader="none" w:pos="44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Officer’s annual incentive cash bonus is determined based on overall corporate achievement of the 2025 Company performance objectives. Performance achievement percentage for 2025 for other named executive officers reflects weighted combined 2025 Company and individual performance, which includes Human Capital Management Committee discretion based on factors as described above.</w:t>
      </w:r>
    </w:p>
    <w:p>
      <w:pPr>
        <w:spacing w:after="0" w:line="23" w:lineRule="exact"/>
        <w:rPr>
          <w:rFonts w:ascii="Times New Roman" w:cs="Times New Roman" w:eastAsia="Times New Roman" w:hAnsi="Times New Roman"/>
          <w:sz w:val="18"/>
          <w:szCs w:val="18"/>
          <w:color w:val="auto"/>
        </w:rPr>
      </w:pPr>
    </w:p>
    <w:p>
      <w:pPr>
        <w:ind w:left="420" w:hanging="372"/>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were paid in the first quarter of 2026, except Dr. Koenig's payment as described below.</w:t>
      </w:r>
    </w:p>
    <w:p>
      <w:pPr>
        <w:spacing w:after="0" w:line="63" w:lineRule="exact"/>
        <w:rPr>
          <w:rFonts w:ascii="Times New Roman" w:cs="Times New Roman" w:eastAsia="Times New Roman" w:hAnsi="Times New Roman"/>
          <w:sz w:val="18"/>
          <w:szCs w:val="18"/>
          <w:color w:val="auto"/>
        </w:rPr>
      </w:pPr>
    </w:p>
    <w:p>
      <w:pPr>
        <w:ind w:left="460" w:right="260" w:hanging="412"/>
        <w:spacing w:after="0" w:line="281" w:lineRule="auto"/>
        <w:tabs>
          <w:tab w:leader="none" w:pos="4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Risser's annual incentive cash bonus was determined based on his performance in both the Chief Operating Officer role and the President and Chief Executive Officer role during 2025, resulting in a blended performance achievement of 86% for 2025 as reflected in the table.</w:t>
      </w:r>
    </w:p>
    <w:p>
      <w:pPr>
        <w:spacing w:after="0" w:line="1" w:lineRule="exact"/>
        <w:rPr>
          <w:rFonts w:ascii="Times New Roman" w:cs="Times New Roman" w:eastAsia="Times New Roman" w:hAnsi="Times New Roman"/>
          <w:sz w:val="18"/>
          <w:szCs w:val="18"/>
          <w:color w:val="auto"/>
        </w:rPr>
      </w:pPr>
    </w:p>
    <w:p>
      <w:pPr>
        <w:ind w:left="480" w:hanging="432"/>
        <w:spacing w:after="0"/>
        <w:tabs>
          <w:tab w:leader="none" w:pos="4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Koenig's annual incentive cash bonus was determined based on his separation agreement and was paid in August 2025.</w:t>
      </w:r>
    </w:p>
    <w:p>
      <w:pPr>
        <w:spacing w:after="0" w:line="1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p>
      <w:pPr>
        <w:spacing w:after="0" w:line="256" w:lineRule="exact"/>
        <w:rPr>
          <w:sz w:val="20"/>
          <w:szCs w:val="20"/>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We use equity awards to motivate and reward our executive officers, including our named executive officers, for long-term corporate performance and to align their interests with those of our stockholders. In fiscal year 2025, our Human Capital Management Committee determined to grant our named executive officers a mix of time vesting stock options and RSUs.</w:t>
      </w:r>
    </w:p>
    <w:p>
      <w:pPr>
        <w:spacing w:after="0" w:line="176" w:lineRule="exact"/>
        <w:rPr>
          <w:sz w:val="20"/>
          <w:szCs w:val="20"/>
          <w:color w:val="auto"/>
        </w:rPr>
      </w:pPr>
    </w:p>
    <w:p>
      <w:pPr>
        <w:ind w:right="160" w:firstLine="445"/>
        <w:spacing w:after="0" w:line="256" w:lineRule="auto"/>
        <w:rPr>
          <w:sz w:val="20"/>
          <w:szCs w:val="20"/>
          <w:color w:val="auto"/>
        </w:rPr>
      </w:pPr>
      <w:r>
        <w:rPr>
          <w:rFonts w:ascii="Times New Roman" w:cs="Times New Roman" w:eastAsia="Times New Roman" w:hAnsi="Times New Roman"/>
          <w:sz w:val="18"/>
          <w:szCs w:val="18"/>
          <w:color w:val="auto"/>
        </w:rPr>
        <w:t>The Human Capital Management Committee believes these equity awards encourage retention and align compensation for our named executive officers with the long-term objectives of the Company. As the stock option holder only receives value if our stock price appreciates, the Human Capital Management Committee believes stock options promote pay for performance. Further, as RSUs become owned shares outright after a vesting period, the value of which will fluctuate based on the stock performance, the Human Capital Management Committee believes RSUs promote pay for performance. The Human Capital Management Committee also retains discretion to make additional targeted equity awards, in the form of options or other types of awards, in certain circumstances.</w:t>
      </w:r>
    </w:p>
    <w:p>
      <w:pPr>
        <w:spacing w:after="0" w:line="187" w:lineRule="exact"/>
        <w:rPr>
          <w:sz w:val="20"/>
          <w:szCs w:val="20"/>
          <w:color w:val="auto"/>
        </w:rPr>
      </w:pPr>
    </w:p>
    <w:p>
      <w:pPr>
        <w:ind w:right="20" w:firstLine="445"/>
        <w:spacing w:after="0" w:line="261" w:lineRule="auto"/>
        <w:rPr>
          <w:sz w:val="20"/>
          <w:szCs w:val="20"/>
          <w:color w:val="auto"/>
        </w:rPr>
      </w:pPr>
      <w:r>
        <w:rPr>
          <w:rFonts w:ascii="Times New Roman" w:cs="Times New Roman" w:eastAsia="Times New Roman" w:hAnsi="Times New Roman"/>
          <w:sz w:val="18"/>
          <w:szCs w:val="18"/>
          <w:color w:val="auto"/>
        </w:rPr>
        <w:t>The annual equity grants, and any discretionary additional targeted equity awards to our executive officers, are evaluated by the Human Capital Management Committee in the context of each executive officer’s total compensation and take into account the market data provided by the Compensation Consultant in addition to the individual employment situation of each executive officer. In the case of executive officers other than the Chief Executive Officer, the Human Capital Management Committee also takes into account the</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2" w:name="page43"/>
    <w:bookmarkEnd w:id="42"/>
    <w:p>
      <w:pPr>
        <w:ind w:right="40"/>
        <w:spacing w:after="0" w:line="253" w:lineRule="auto"/>
        <w:rPr>
          <w:sz w:val="20"/>
          <w:szCs w:val="20"/>
          <w:color w:val="auto"/>
        </w:rPr>
      </w:pPr>
      <w:r>
        <w:rPr>
          <w:rFonts w:ascii="Times New Roman" w:cs="Times New Roman" w:eastAsia="Times New Roman" w:hAnsi="Times New Roman"/>
          <w:sz w:val="18"/>
          <w:szCs w:val="18"/>
          <w:color w:val="auto"/>
        </w:rPr>
        <w:t>recommendations of the Chief Executive Officer with regards to appropriate grants and any particular individual circumstances. The Human Capital Management Committee determines whether to grant equity awards, the type of award, and the size of the grant to each of our executive officers based upon its overall assessment. The Human Capital Management Committee evaluates each executive officer’s performance after taking into consideration prior years’ grants, the organizational impact of the executive officer, the Company’s overall performance in the current year as compared to the prior year and the need to respond to competitive market conditions in order retain executive officers. Our annual equity grants to executive officers are typically awarded on the date that the Human Capital Management Committee approves the grant. We set the option exercise price based on our per-share closing-price valuation on the date of grant. Time vested stock option grants to our executives typically vest 25% twelve months after the date of grant with the remainder vesting in equal installments over the following 12 quarters. RSUs granted to our executives typically vest on an annual basis equally over three years. The Human Capital Management Committee retains discretion to make adjustments to the vesting schedule and types of awards as may be necessary to meet the Company’s long-term objectives. The table below summarizes the equity awards granted to our named executive officers during fiscal year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Executive</w:t>
            </w:r>
          </w:p>
        </w:tc>
        <w:tc>
          <w:tcPr>
            <w:tcW w:w="24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Number of RSUs (#)</w:t>
            </w:r>
          </w:p>
        </w:tc>
        <w:tc>
          <w:tcPr>
            <w:tcW w:w="2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Number of Stock Options (#)</w:t>
            </w:r>
          </w:p>
        </w:tc>
      </w:tr>
      <w:tr>
        <w:trPr>
          <w:trHeight w:val="223"/>
        </w:trPr>
        <w:tc>
          <w:tcPr>
            <w:tcW w:w="6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 (1)</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28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670,000</w:t>
            </w: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Koenig, M.D., Ph.D. (2)</w:t>
            </w:r>
          </w:p>
        </w:tc>
        <w:tc>
          <w:tcPr>
            <w:tcW w:w="24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21,000</w:t>
            </w:r>
          </w:p>
        </w:tc>
        <w:tc>
          <w:tcPr>
            <w:tcW w:w="280" w:type="dxa"/>
            <w:vAlign w:val="bottom"/>
            <w:shd w:val="clear" w:color="auto" w:fill="CCEEFF"/>
          </w:tcPr>
          <w:p>
            <w:pPr>
              <w:spacing w:after="0"/>
              <w:rPr>
                <w:sz w:val="19"/>
                <w:szCs w:val="19"/>
                <w:color w:val="auto"/>
              </w:rPr>
            </w:pP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128,000</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8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113,000</w:t>
            </w:r>
          </w:p>
        </w:tc>
      </w:tr>
    </w:tbl>
    <w:p>
      <w:pPr>
        <w:spacing w:after="0" w:line="287" w:lineRule="exact"/>
        <w:rPr>
          <w:sz w:val="20"/>
          <w:szCs w:val="20"/>
          <w:color w:val="auto"/>
        </w:rPr>
      </w:pPr>
    </w:p>
    <w:p>
      <w:pPr>
        <w:ind w:right="40" w:firstLine="8"/>
        <w:spacing w:after="0" w:line="282" w:lineRule="auto"/>
        <w:tabs>
          <w:tab w:leader="none" w:pos="2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Risser was promoted from Chief Operating Officer to President and Chief Executive Officer effective August 13, 2025. Of the total options granted to him during 2025, 550,000 options were granted upon his promotion to President and Chief Executive Officer.</w:t>
      </w:r>
    </w:p>
    <w:p>
      <w:pPr>
        <w:spacing w:after="0" w:line="53"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 served as President and Chief Executive Officer until August 13, 2025.</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Perquisites and Other Personal Benefits</w:t>
      </w:r>
    </w:p>
    <w:p>
      <w:pPr>
        <w:spacing w:after="0" w:line="229" w:lineRule="exact"/>
        <w:rPr>
          <w:sz w:val="20"/>
          <w:szCs w:val="20"/>
          <w:color w:val="auto"/>
        </w:rPr>
      </w:pPr>
    </w:p>
    <w:p>
      <w:pPr>
        <w:ind w:right="140" w:firstLine="445"/>
        <w:spacing w:after="0" w:line="266" w:lineRule="auto"/>
        <w:rPr>
          <w:sz w:val="20"/>
          <w:szCs w:val="20"/>
          <w:color w:val="auto"/>
        </w:rPr>
      </w:pPr>
      <w:r>
        <w:rPr>
          <w:rFonts w:ascii="Times New Roman" w:cs="Times New Roman" w:eastAsia="Times New Roman" w:hAnsi="Times New Roman"/>
          <w:sz w:val="18"/>
          <w:szCs w:val="18"/>
          <w:color w:val="auto"/>
        </w:rPr>
        <w:t>We do not offer perquisites to our named executive officers. All of the named executive officers are eligible to participate in the Company’s employee benefit plans, including health, dental, and vision insurance, a prescription drug plan, flexible spending accounts, short and long-term disability, life insurance, and a 401(k) plan. These plans are offered to all employees and do not discriminate in favor of named executive officers.</w:t>
      </w:r>
    </w:p>
    <w:p>
      <w:pPr>
        <w:spacing w:after="0" w:line="176" w:lineRule="exact"/>
        <w:rPr>
          <w:sz w:val="20"/>
          <w:szCs w:val="20"/>
          <w:color w:val="auto"/>
        </w:rPr>
      </w:pPr>
    </w:p>
    <w:p>
      <w:pPr>
        <w:ind w:right="100" w:firstLine="445"/>
        <w:spacing w:after="0" w:line="254" w:lineRule="auto"/>
        <w:rPr>
          <w:sz w:val="20"/>
          <w:szCs w:val="20"/>
          <w:color w:val="auto"/>
        </w:rPr>
      </w:pPr>
      <w:r>
        <w:rPr>
          <w:rFonts w:ascii="Times New Roman" w:cs="Times New Roman" w:eastAsia="Times New Roman" w:hAnsi="Times New Roman"/>
          <w:sz w:val="18"/>
          <w:szCs w:val="18"/>
          <w:color w:val="auto"/>
        </w:rPr>
        <w:t>We maintain a defined contribution employee retirement plan (401(k) plan) for our employees and our executive officers are also eligible to participate in the 401(k) plan on the same basis as our other employees. The 401(k) plan is intended to qualify as a tax-qualified plan under Section 401(k) of the IRC. The 401(k) plan provides that each participant may contribute up to 100% of their eligible compensation or the statutory limit, which was $23,500 for calendar year 2025. Participants who are 50 years or older can also make “catch-up” contributions, which in calendar year 2025 could have been up to an additional $7,500 above the statutory limit. During 2025, we provided a discretionary 2/3 (66.67%) employer match for employee contributions up to 6% of eligible compensation. In general, eligible compensation for purposes of the 401(k) plan includes an employee’s wages, salaries, fees for professional services and other amounts received for personal services actually rendered in the course of employment with us to the extent the amounts are includable in gross income, and subject to certain adjustments and exclusions required under the IRC. Participant and employer contributions are held and invested, pursuant to the participant’s instructions, by the plan’s trustee.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29" w:lineRule="exact"/>
        <w:rPr>
          <w:sz w:val="20"/>
          <w:szCs w:val="20"/>
          <w:color w:val="auto"/>
        </w:rPr>
      </w:pPr>
    </w:p>
    <w:p>
      <w:pPr>
        <w:ind w:right="120" w:firstLine="445"/>
        <w:spacing w:after="0" w:line="258" w:lineRule="auto"/>
        <w:rPr>
          <w:sz w:val="20"/>
          <w:szCs w:val="20"/>
          <w:color w:val="auto"/>
        </w:rPr>
      </w:pPr>
      <w:r>
        <w:rPr>
          <w:rFonts w:ascii="Times New Roman" w:cs="Times New Roman" w:eastAsia="Times New Roman" w:hAnsi="Times New Roman"/>
          <w:sz w:val="18"/>
          <w:szCs w:val="18"/>
          <w:color w:val="auto"/>
        </w:rPr>
        <w:t>In evaluating compensation program alternatives, the Human Capital Management Committee considers the potential impact on the Company of Section 162(m) of the IRC. Section 162(m) eliminates the deductibility of compensation over $1 million paid to the chief executive officer, chief financial officer, and three other most highly-compensated named executive officers (other than the Chief Executive Officer or Chief Financial Officer),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183" w:lineRule="exact"/>
        <w:rPr>
          <w:sz w:val="20"/>
          <w:szCs w:val="20"/>
          <w:color w:val="auto"/>
        </w:rPr>
      </w:pPr>
    </w:p>
    <w:p>
      <w:pPr>
        <w:ind w:right="20" w:firstLine="445"/>
        <w:spacing w:after="0" w:line="256" w:lineRule="auto"/>
        <w:rPr>
          <w:sz w:val="20"/>
          <w:szCs w:val="20"/>
          <w:color w:val="auto"/>
        </w:rPr>
      </w:pPr>
      <w:r>
        <w:rPr>
          <w:rFonts w:ascii="Times New Roman" w:cs="Times New Roman" w:eastAsia="Times New Roman" w:hAnsi="Times New Roman"/>
          <w:sz w:val="18"/>
          <w:szCs w:val="18"/>
          <w:color w:val="auto"/>
        </w:rPr>
        <w:t>To the extent a named executive officer would otherwise earn over $1 million in compensation in any calendar year, the Human Capital Management Committee generally endeavors to maximize deductibility of compensation under Section 162(m) to the extent practicable while maintaining a competitive, performance-based compensation program. However, tax consequences are subject to many factors (such as changes in the tax laws and regulations or interpretations thereof and the timing and nature of various decisions by officers regarding stock options) that are beyond the control of either the Human Capital Management Committee or the Company. In addition, the Human Capital Management Committee believes that it is important for it to retain maximum flexibility in designing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3" w:name="page44"/>
    <w:bookmarkEnd w:id="43"/>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compensation programs that meet its stated objectives and fit within the Human Capital Management Committee’s guiding principles. Also, the actual impact of the loss of deduction for compensation paid to these named executive officers over the $1 million limitation may be small and have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impact on the Company’s overall tax position. For these and other reasons, the Human Capital Management Committee, while considering tax deductibility as a factor in determining compensation, will not limit compensation to those levels or types that will be deductible when it believes doing so is in the best interests of the Company and its stockholders.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56" w:lineRule="exact"/>
        <w:rPr>
          <w:sz w:val="20"/>
          <w:szCs w:val="20"/>
          <w:color w:val="auto"/>
        </w:rPr>
      </w:pPr>
    </w:p>
    <w:p>
      <w:pPr>
        <w:ind w:right="280" w:firstLine="445"/>
        <w:spacing w:after="0" w:line="266" w:lineRule="auto"/>
        <w:rPr>
          <w:sz w:val="20"/>
          <w:szCs w:val="20"/>
          <w:color w:val="auto"/>
        </w:rPr>
      </w:pPr>
      <w:r>
        <w:rPr>
          <w:rFonts w:ascii="Times New Roman" w:cs="Times New Roman" w:eastAsia="Times New Roman" w:hAnsi="Times New Roman"/>
          <w:sz w:val="18"/>
          <w:szCs w:val="18"/>
          <w:color w:val="auto"/>
        </w:rPr>
        <w:t>We have adopted an insider trading policy governing the purchase, sale and other dispositions of our securities that applies to all of our personnel, including directors, officers, employees, and other covered persons. We believe that our insider trading policy is reasonably designed to promote compliance with insider trading laws, rules and regulations, and listing standards applicable to us.</w:t>
      </w:r>
    </w:p>
    <w:p>
      <w:pPr>
        <w:spacing w:after="0" w:line="203" w:lineRule="exact"/>
        <w:rPr>
          <w:sz w:val="20"/>
          <w:szCs w:val="20"/>
          <w:color w:val="auto"/>
        </w:rPr>
      </w:pPr>
    </w:p>
    <w:p>
      <w:pPr>
        <w:ind w:right="180" w:firstLine="445"/>
        <w:spacing w:after="0" w:line="261" w:lineRule="auto"/>
        <w:rPr>
          <w:sz w:val="20"/>
          <w:szCs w:val="20"/>
          <w:color w:val="auto"/>
        </w:rPr>
      </w:pPr>
      <w:r>
        <w:rPr>
          <w:rFonts w:ascii="Times New Roman" w:cs="Times New Roman" w:eastAsia="Times New Roman" w:hAnsi="Times New Roman"/>
          <w:sz w:val="18"/>
          <w:szCs w:val="18"/>
          <w:color w:val="auto"/>
        </w:rPr>
        <w:t>To further enhance compliance, we implement blackout periods, during which trading is restricted for individuals with access to material nonpublic information. Prior to engaging in any transactions involving company securities, certain employees and directors must seek pre-clearance from the compliance officer or legal department. This policy is reviewed periodically to ensure alignment with evolving regulations and best practices. A copy of our insider trading policy is filed as an exhibit to our Annual Report on Form 10-K.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Anti-Hedging and Anti-Pledging Policies</w:t>
      </w:r>
    </w:p>
    <w:p>
      <w:pPr>
        <w:spacing w:after="0" w:line="229" w:lineRule="exact"/>
        <w:rPr>
          <w:sz w:val="20"/>
          <w:szCs w:val="20"/>
          <w:color w:val="auto"/>
        </w:rPr>
      </w:pPr>
    </w:p>
    <w:p>
      <w:pPr>
        <w:ind w:right="220" w:firstLine="445"/>
        <w:spacing w:after="0" w:line="282" w:lineRule="auto"/>
        <w:rPr>
          <w:sz w:val="20"/>
          <w:szCs w:val="20"/>
          <w:color w:val="auto"/>
        </w:rPr>
      </w:pPr>
      <w:r>
        <w:rPr>
          <w:rFonts w:ascii="Times New Roman" w:cs="Times New Roman" w:eastAsia="Times New Roman" w:hAnsi="Times New Roman"/>
          <w:sz w:val="18"/>
          <w:szCs w:val="18"/>
          <w:color w:val="auto"/>
        </w:rPr>
        <w:t>Our insider trading policy prohibits all directors, officers and employees from pledging or engaging in hedging or similar transactions in our stock, including but not limited to prepaid variable forwards, equity swaps, collars, exchange funds, puts, margin accounts or trading, calls and short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Recoupment of Incentive Compensation Policy</w:t>
      </w:r>
    </w:p>
    <w:p>
      <w:pPr>
        <w:spacing w:after="0" w:line="229" w:lineRule="exact"/>
        <w:rPr>
          <w:sz w:val="20"/>
          <w:szCs w:val="20"/>
          <w:color w:val="auto"/>
        </w:rPr>
      </w:pPr>
    </w:p>
    <w:p>
      <w:pPr>
        <w:ind w:right="20" w:firstLine="445"/>
        <w:spacing w:after="0" w:line="253" w:lineRule="auto"/>
        <w:rPr>
          <w:sz w:val="20"/>
          <w:szCs w:val="20"/>
          <w:color w:val="auto"/>
        </w:rPr>
      </w:pPr>
      <w:r>
        <w:rPr>
          <w:rFonts w:ascii="Times New Roman" w:cs="Times New Roman" w:eastAsia="Times New Roman" w:hAnsi="Times New Roman"/>
          <w:sz w:val="18"/>
          <w:szCs w:val="18"/>
          <w:color w:val="auto"/>
        </w:rPr>
        <w:t>In November 2023, our Board adopted our Clawback Policy intended to comply with the final clawback rules adopted by the SEC pursuant to Section 10D and Rule 10D-1 of the Exchange Act, and the related Nasdaq listing requirements (together, the “Final Clawback Rules”). The Clawback Policy, which supersedes the Company’s prior compensation recovery policy, requires the Company to recover any erroneously awarded incentive-based compensation received by current and former executive officers (as defined in the Clawback Policy) of the Company in the event that the Company is required to prepare an accounting restatement, in accordance with the Final Clawback Rules. The recovery of such compensation applies regardless of whether an executive officer engaged in misconduct or otherwise caused or contributed to the requirement of an accounting restatement. Under the Clawback Policy, the Company may recoup from current or former executive officers erroneously awarded incentive-based compensation received within a lookback period of the three completed fiscal years preceding the date on which the Company is required to prepare an accounting restatement. A copy of our Clawback Policy was filed as Exhibit 97.1 to our Annual Report on Form 10-K for the fiscal year ended December 31, 2023 and is incorporated by reference into subsequent Annual Reports on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and Retention Guidelines</w:t>
      </w:r>
    </w:p>
    <w:p>
      <w:pPr>
        <w:spacing w:after="0" w:line="229" w:lineRule="exact"/>
        <w:rPr>
          <w:sz w:val="20"/>
          <w:szCs w:val="20"/>
          <w:color w:val="auto"/>
        </w:rPr>
      </w:pPr>
    </w:p>
    <w:p>
      <w:pPr>
        <w:ind w:right="40" w:firstLine="445"/>
        <w:spacing w:after="0" w:line="253" w:lineRule="auto"/>
        <w:rPr>
          <w:sz w:val="20"/>
          <w:szCs w:val="20"/>
          <w:color w:val="auto"/>
        </w:rPr>
      </w:pPr>
      <w:r>
        <w:rPr>
          <w:rFonts w:ascii="Times New Roman" w:cs="Times New Roman" w:eastAsia="Times New Roman" w:hAnsi="Times New Roman"/>
          <w:sz w:val="18"/>
          <w:szCs w:val="18"/>
          <w:color w:val="auto"/>
        </w:rPr>
        <w:t>In February 2022, our Board adopted a revised Officer and Director Stock Ownership and Retention Guidelines (the “Stock Ownership Guidelines”), whereby our executive officers and our non-management members of our Board are encouraged to own shares of Company stock in order to promote the alignment of our executive officers and directors with the long-term interests of our stockholders and to further promote our commitment to sound corporate governance. The Stock Ownership Guidelines require the Company's Chief Executive Officer, members of our Board and other Section 16 officers to own a target number of shares (i.e., (1) shares owned directly (including through open market purchases), (2) shares underlying restricted stock units and restricted stock awards (other than unearned portions of performance-based restricted stock units and restricted stock awards), (3) shares owned jointly with or separately by the individual’s spouse; and (4) shares held in trust for the benefit of the individual, the individual’s spouse, and/or the individual’s children). Our Chief Executive Officer is required to achieve a target stock ownership of Company stock that has a value equal to three times the Chief Executive Officer’s base salary. Our Section 16 officers are required to achieve a target stock ownership of Company stock that has a value equal to one times their base salary. Members of our Board are required to achieve a target stock ownership of Company stock that has a value equal to three times the Board annual retainer fees. Members of our Board, our Chief Executive Officer and our other Section 16 officers must be in compliance with the Stock Ownership Guidelines within five years of the Stock Ownership Guidelines becoming effective to them.</w:t>
      </w:r>
    </w:p>
    <w:p>
      <w:pPr>
        <w:spacing w:after="0" w:line="200" w:lineRule="exact"/>
        <w:rPr>
          <w:sz w:val="20"/>
          <w:szCs w:val="20"/>
          <w:color w:val="auto"/>
        </w:rPr>
      </w:pPr>
    </w:p>
    <w:p>
      <w:pPr>
        <w:spacing w:after="0" w:line="2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right="320" w:firstLine="445"/>
        <w:spacing w:after="0" w:line="275" w:lineRule="auto"/>
        <w:rPr>
          <w:sz w:val="20"/>
          <w:szCs w:val="20"/>
          <w:color w:val="auto"/>
        </w:rPr>
      </w:pPr>
      <w:r>
        <w:rPr>
          <w:rFonts w:ascii="Times New Roman" w:cs="Times New Roman" w:eastAsia="Times New Roman" w:hAnsi="Times New Roman"/>
          <w:sz w:val="18"/>
          <w:szCs w:val="18"/>
          <w:color w:val="auto"/>
        </w:rPr>
        <w:t>The following table sets forth information concerning the compensation earned during the fiscal years ended December 31, 2025 and 2024 by the named executive officers:</w:t>
      </w:r>
    </w:p>
    <w:tbl>
      <w:tblPr>
        <w:tblLayout w:type="fixed"/>
        <w:tblInd w:w="0" w:type="dxa"/>
        <w:tblCellMar>
          <w:top w:w="0" w:type="dxa"/>
          <w:left w:w="0" w:type="dxa"/>
          <w:bottom w:w="0" w:type="dxa"/>
          <w:right w:w="0" w:type="dxa"/>
        </w:tblCellMar>
      </w:tblPr>
      <w:tr>
        <w:trPr>
          <w:trHeight w:val="165"/>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420" w:type="dxa"/>
            <w:vAlign w:val="bottom"/>
            <w:gridSpan w:val="2"/>
          </w:tcPr>
          <w:p>
            <w:pPr>
              <w:jc w:val="center"/>
              <w:ind w:right="100"/>
              <w:spacing w:after="0" w:line="165" w:lineRule="exact"/>
              <w:rPr>
                <w:sz w:val="20"/>
                <w:szCs w:val="20"/>
                <w:color w:val="auto"/>
              </w:rPr>
            </w:pPr>
            <w:r>
              <w:rPr>
                <w:rFonts w:ascii="Times New Roman" w:cs="Times New Roman" w:eastAsia="Times New Roman" w:hAnsi="Times New Roman"/>
                <w:sz w:val="16"/>
                <w:szCs w:val="16"/>
                <w:b w:val="1"/>
                <w:bCs w:val="1"/>
                <w:color w:val="auto"/>
              </w:rPr>
              <w:t>Nonequity</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All Other</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Bonus ($)</w:t>
            </w:r>
          </w:p>
        </w:tc>
        <w:tc>
          <w:tcPr>
            <w:tcW w:w="112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Incentive Plan</w:t>
            </w:r>
          </w:p>
        </w:tc>
        <w:tc>
          <w:tcPr>
            <w:tcW w:w="1420" w:type="dxa"/>
            <w:vAlign w:val="bottom"/>
            <w:gridSpan w:val="2"/>
            <w:vMerge w:val="continue"/>
          </w:tcPr>
          <w:p>
            <w:pPr>
              <w:spacing w:after="0"/>
              <w:rPr>
                <w:sz w:val="14"/>
                <w:szCs w:val="14"/>
                <w:color w:val="auto"/>
              </w:rPr>
            </w:pPr>
          </w:p>
        </w:tc>
        <w:tc>
          <w:tcPr>
            <w:tcW w:w="1080" w:type="dxa"/>
            <w:vAlign w:val="bottom"/>
            <w:vMerge w:val="restart"/>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8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00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1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8"/>
                <w:szCs w:val="18"/>
                <w:b w:val="1"/>
                <w:bCs w:val="1"/>
                <w:color w:val="auto"/>
                <w:w w:val="98"/>
              </w:rPr>
              <w:t>Awards ($)</w:t>
            </w:r>
          </w:p>
        </w:tc>
        <w:tc>
          <w:tcPr>
            <w:tcW w:w="106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Awards ($)</w:t>
            </w:r>
          </w:p>
        </w:tc>
        <w:tc>
          <w:tcPr>
            <w:tcW w:w="142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w:t>
            </w:r>
          </w:p>
        </w:tc>
        <w:tc>
          <w:tcPr>
            <w:tcW w:w="14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w:t>
            </w: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92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40" w:type="dxa"/>
            <w:vAlign w:val="bottom"/>
          </w:tcPr>
          <w:p>
            <w:pPr>
              <w:jc w:val="right"/>
              <w:ind w:right="232"/>
              <w:spacing w:after="0"/>
              <w:rPr>
                <w:sz w:val="20"/>
                <w:szCs w:val="20"/>
                <w:color w:val="auto"/>
              </w:rPr>
            </w:pPr>
            <w:r>
              <w:rPr>
                <w:rFonts w:ascii="Times New Roman" w:cs="Times New Roman" w:eastAsia="Times New Roman" w:hAnsi="Times New Roman"/>
                <w:sz w:val="16"/>
                <w:szCs w:val="16"/>
                <w:b w:val="1"/>
                <w:bCs w:val="1"/>
                <w:color w:val="auto"/>
              </w:rPr>
              <w:t>(1)</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(2)</w:t>
            </w:r>
          </w:p>
        </w:tc>
        <w:tc>
          <w:tcPr>
            <w:tcW w:w="10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12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(4)</w:t>
            </w:r>
          </w:p>
        </w:tc>
        <w:tc>
          <w:tcPr>
            <w:tcW w:w="140" w:type="dxa"/>
            <w:vAlign w:val="bottom"/>
          </w:tcPr>
          <w:p>
            <w:pPr>
              <w:spacing w:after="0"/>
              <w:rPr>
                <w:sz w:val="18"/>
                <w:szCs w:val="18"/>
                <w:color w:val="auto"/>
              </w:rPr>
            </w:pPr>
          </w:p>
        </w:tc>
        <w:tc>
          <w:tcPr>
            <w:tcW w:w="1080" w:type="dxa"/>
            <w:vAlign w:val="bottom"/>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3"/>
        </w:trPr>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 (5)</w:t>
            </w:r>
          </w:p>
        </w:tc>
        <w:tc>
          <w:tcPr>
            <w:tcW w:w="8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561,568</w:t>
            </w:r>
          </w:p>
        </w:tc>
        <w:tc>
          <w:tcPr>
            <w:tcW w:w="8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52,000</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1,049,386</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251,900</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2,078,854</w:t>
            </w: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President, Chief Executive</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 and Director</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Koenig, M.D., Ph.D. (6)</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477,120</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475,841</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952,961</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Former Chief Executive</w:t>
            </w:r>
          </w:p>
        </w:tc>
        <w:tc>
          <w:tcPr>
            <w:tcW w:w="74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734,031</w:t>
            </w:r>
          </w:p>
        </w:tc>
        <w:tc>
          <w:tcPr>
            <w:tcW w:w="8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1,738,500</w:t>
            </w:r>
          </w:p>
        </w:tc>
        <w:tc>
          <w:tcPr>
            <w:tcW w:w="1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3,574,647</w:t>
            </w:r>
          </w:p>
        </w:tc>
        <w:tc>
          <w:tcPr>
            <w:tcW w:w="8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342,470</w:t>
            </w:r>
          </w:p>
        </w:tc>
        <w:tc>
          <w:tcPr>
            <w:tcW w:w="12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13,800</w:t>
            </w:r>
          </w:p>
        </w:tc>
        <w:tc>
          <w:tcPr>
            <w:tcW w:w="14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6,403,448</w:t>
            </w:r>
          </w:p>
        </w:tc>
        <w:tc>
          <w:tcPr>
            <w:tcW w:w="0" w:type="dxa"/>
            <w:vAlign w:val="bottom"/>
          </w:tcPr>
          <w:p>
            <w:pPr>
              <w:spacing w:after="0"/>
              <w:rPr>
                <w:sz w:val="1"/>
                <w:szCs w:val="1"/>
                <w:color w:val="auto"/>
              </w:rPr>
            </w:pPr>
          </w:p>
        </w:tc>
      </w:tr>
      <w:tr>
        <w:trPr>
          <w:trHeight w:val="239"/>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Officer and current Director</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533,200</w:t>
            </w: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54,600</w:t>
            </w: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288,038</w:t>
            </w:r>
          </w:p>
        </w:tc>
        <w:tc>
          <w:tcPr>
            <w:tcW w:w="8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184,200</w:t>
            </w:r>
          </w:p>
        </w:tc>
        <w:tc>
          <w:tcPr>
            <w:tcW w:w="1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1,224,038</w:t>
            </w:r>
          </w:p>
        </w:tc>
        <w:tc>
          <w:tcPr>
            <w:tcW w:w="0" w:type="dxa"/>
            <w:vAlign w:val="bottom"/>
          </w:tcPr>
          <w:p>
            <w:pPr>
              <w:spacing w:after="0"/>
              <w:rPr>
                <w:sz w:val="1"/>
                <w:szCs w:val="1"/>
                <w:color w:val="auto"/>
              </w:rPr>
            </w:pPr>
          </w:p>
        </w:tc>
      </w:tr>
      <w:tr>
        <w:trPr>
          <w:trHeight w:val="175"/>
        </w:trPr>
        <w:tc>
          <w:tcPr>
            <w:tcW w:w="24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Senior Vice President,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Research and Chief Scientific</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Officer</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506,548</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254,284</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1,149,232</w:t>
            </w:r>
          </w:p>
        </w:tc>
        <w:tc>
          <w:tcPr>
            <w:tcW w:w="0" w:type="dxa"/>
            <w:vAlign w:val="bottom"/>
          </w:tcPr>
          <w:p>
            <w:pPr>
              <w:spacing w:after="0"/>
              <w:rPr>
                <w:sz w:val="1"/>
                <w:szCs w:val="1"/>
                <w:color w:val="auto"/>
              </w:rPr>
            </w:pPr>
          </w:p>
        </w:tc>
      </w:tr>
      <w:tr>
        <w:trPr>
          <w:trHeight w:val="180"/>
        </w:trPr>
        <w:tc>
          <w:tcPr>
            <w:tcW w:w="248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Senior Vice President and</w:t>
            </w:r>
          </w:p>
        </w:tc>
        <w:tc>
          <w:tcPr>
            <w:tcW w:w="740" w:type="dxa"/>
            <w:vAlign w:val="bottom"/>
            <w:gridSpan w:val="2"/>
          </w:tcPr>
          <w:p>
            <w:pPr>
              <w:ind w:left="240"/>
              <w:spacing w:after="0" w:line="181" w:lineRule="exact"/>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15"/>
                <w:szCs w:val="15"/>
                <w:color w:val="auto"/>
              </w:rPr>
            </w:pPr>
          </w:p>
        </w:tc>
        <w:tc>
          <w:tcPr>
            <w:tcW w:w="9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491,077</w:t>
            </w:r>
          </w:p>
        </w:tc>
        <w:tc>
          <w:tcPr>
            <w:tcW w:w="80" w:type="dxa"/>
            <w:vAlign w:val="bottom"/>
          </w:tcPr>
          <w:p>
            <w:pPr>
              <w:spacing w:after="0"/>
              <w:rPr>
                <w:sz w:val="15"/>
                <w:szCs w:val="15"/>
                <w:color w:val="auto"/>
              </w:rPr>
            </w:pPr>
          </w:p>
        </w:tc>
        <w:tc>
          <w:tcPr>
            <w:tcW w:w="8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549,000</w:t>
            </w:r>
          </w:p>
        </w:tc>
        <w:tc>
          <w:tcPr>
            <w:tcW w:w="100" w:type="dxa"/>
            <w:vAlign w:val="bottom"/>
          </w:tcPr>
          <w:p>
            <w:pPr>
              <w:spacing w:after="0"/>
              <w:rPr>
                <w:sz w:val="15"/>
                <w:szCs w:val="15"/>
                <w:color w:val="auto"/>
              </w:rPr>
            </w:pPr>
          </w:p>
        </w:tc>
        <w:tc>
          <w:tcPr>
            <w:tcW w:w="9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1,153,112</w:t>
            </w:r>
          </w:p>
        </w:tc>
        <w:tc>
          <w:tcPr>
            <w:tcW w:w="80" w:type="dxa"/>
            <w:vAlign w:val="bottom"/>
          </w:tcPr>
          <w:p>
            <w:pPr>
              <w:spacing w:after="0"/>
              <w:rPr>
                <w:sz w:val="15"/>
                <w:szCs w:val="15"/>
                <w:color w:val="auto"/>
              </w:rPr>
            </w:pPr>
          </w:p>
        </w:tc>
        <w:tc>
          <w:tcPr>
            <w:tcW w:w="130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158,554</w:t>
            </w:r>
          </w:p>
        </w:tc>
        <w:tc>
          <w:tcPr>
            <w:tcW w:w="120" w:type="dxa"/>
            <w:vAlign w:val="bottom"/>
          </w:tcPr>
          <w:p>
            <w:pPr>
              <w:spacing w:after="0"/>
              <w:rPr>
                <w:sz w:val="15"/>
                <w:szCs w:val="15"/>
                <w:color w:val="auto"/>
              </w:rPr>
            </w:pPr>
          </w:p>
        </w:tc>
        <w:tc>
          <w:tcPr>
            <w:tcW w:w="12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13,800</w:t>
            </w:r>
          </w:p>
        </w:tc>
        <w:tc>
          <w:tcPr>
            <w:tcW w:w="140" w:type="dxa"/>
            <w:vAlign w:val="bottom"/>
          </w:tcPr>
          <w:p>
            <w:pPr>
              <w:spacing w:after="0"/>
              <w:rPr>
                <w:sz w:val="15"/>
                <w:szCs w:val="15"/>
                <w:color w:val="auto"/>
              </w:rPr>
            </w:pPr>
          </w:p>
        </w:tc>
        <w:tc>
          <w:tcPr>
            <w:tcW w:w="108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2,365,543</w:t>
            </w:r>
          </w:p>
        </w:tc>
        <w:tc>
          <w:tcPr>
            <w:tcW w:w="0" w:type="dxa"/>
            <w:vAlign w:val="bottom"/>
          </w:tcPr>
          <w:p>
            <w:pPr>
              <w:spacing w:after="0"/>
              <w:rPr>
                <w:sz w:val="1"/>
                <w:szCs w:val="1"/>
                <w:color w:val="auto"/>
              </w:rPr>
            </w:pPr>
          </w:p>
        </w:tc>
      </w:tr>
      <w:tr>
        <w:trPr>
          <w:trHeight w:val="234"/>
        </w:trPr>
        <w:tc>
          <w:tcPr>
            <w:tcW w:w="2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Chief Financial Officer</w:t>
            </w: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5" w:right="339" w:bottom="0" w:gutter="0" w:footer="0" w:header="0"/>
        </w:sectPr>
      </w:pPr>
    </w:p>
    <w:bookmarkStart w:id="44" w:name="page45"/>
    <w:bookmarkEnd w:id="44"/>
    <w:p>
      <w:pPr>
        <w:ind w:left="500" w:right="580" w:hanging="492"/>
        <w:spacing w:after="0" w:line="281"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retention bonus that was approved by the Board in October 2024 to be paid out in October 2025, subject to the named executive officer’s continued employment as of that date.</w:t>
      </w:r>
    </w:p>
    <w:p>
      <w:pPr>
        <w:spacing w:after="0" w:line="1" w:lineRule="exact"/>
        <w:rPr>
          <w:rFonts w:ascii="Times New Roman" w:cs="Times New Roman" w:eastAsia="Times New Roman" w:hAnsi="Times New Roman"/>
          <w:sz w:val="18"/>
          <w:szCs w:val="18"/>
          <w:color w:val="auto"/>
        </w:rPr>
      </w:pPr>
    </w:p>
    <w:p>
      <w:pPr>
        <w:ind w:left="500" w:right="120" w:hanging="492"/>
        <w:spacing w:after="0" w:line="261"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grant date fair value for awards granted during the year indicated. The grant date fair value was computed in accordance with ASC 718. The assumptions used in the valuation of these awards are set forth in Note 8 to our financial statements, which are included in our Annual Report on Form 10-K. These amounts do not necessarily correspond to the actual value recognized or that may be recognized by the named executive officers.</w:t>
      </w:r>
    </w:p>
    <w:p>
      <w:pPr>
        <w:spacing w:after="0" w:line="17" w:lineRule="exact"/>
        <w:rPr>
          <w:rFonts w:ascii="Times New Roman" w:cs="Times New Roman" w:eastAsia="Times New Roman" w:hAnsi="Times New Roman"/>
          <w:sz w:val="18"/>
          <w:szCs w:val="18"/>
          <w:color w:val="auto"/>
        </w:rPr>
      </w:pPr>
    </w:p>
    <w:p>
      <w:pPr>
        <w:ind w:left="500" w:right="80" w:hanging="492"/>
        <w:spacing w:after="0" w:line="266"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shown represent earnings for services performed during the fiscal year under our annual incentive cash bonus plan described beginning on page 38. The amounts reflect the performance bonuses paid in 2026 for performance during 2025 and the performance bonuses paid in 2025 for performance during 2024.</w:t>
      </w:r>
    </w:p>
    <w:p>
      <w:pPr>
        <w:spacing w:after="0" w:line="13" w:lineRule="exact"/>
        <w:rPr>
          <w:rFonts w:ascii="Times New Roman" w:cs="Times New Roman" w:eastAsia="Times New Roman" w:hAnsi="Times New Roman"/>
          <w:sz w:val="18"/>
          <w:szCs w:val="18"/>
          <w:color w:val="auto"/>
        </w:rPr>
      </w:pPr>
    </w:p>
    <w:p>
      <w:pPr>
        <w:ind w:left="500" w:right="460" w:hanging="492"/>
        <w:spacing w:after="0" w:line="281" w:lineRule="auto"/>
        <w:tabs>
          <w:tab w:leader="none" w:pos="49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matching contributions made under our 401(k) plan for all named executive officers. Dr. Koenig's amount also includes severance paid under his separation agreement.</w:t>
      </w:r>
    </w:p>
    <w:p>
      <w:pPr>
        <w:spacing w:after="0" w:line="1"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Risser was promoted from Chief Operating Officer to President and Chief Executive Officer effective August 13, 2025.</w:t>
      </w:r>
    </w:p>
    <w:p>
      <w:pPr>
        <w:spacing w:after="0" w:line="63" w:lineRule="exact"/>
        <w:rPr>
          <w:rFonts w:ascii="Times New Roman" w:cs="Times New Roman" w:eastAsia="Times New Roman" w:hAnsi="Times New Roman"/>
          <w:sz w:val="18"/>
          <w:szCs w:val="18"/>
          <w:color w:val="auto"/>
        </w:rPr>
      </w:pPr>
    </w:p>
    <w:p>
      <w:pPr>
        <w:ind w:left="480" w:hanging="472"/>
        <w:spacing w:after="0"/>
        <w:tabs>
          <w:tab w:leader="none" w:pos="4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 served as President and Chief Executive Officer until August 13, 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right="200" w:firstLine="445"/>
        <w:spacing w:after="0" w:line="329"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value of all unexercised options and unvested restricted stock units previously awarded to the Company’s named executive officers as of December 31, 2025:</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2"/>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1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vMerge w:val="restart"/>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220" w:type="dxa"/>
            <w:vAlign w:val="bottom"/>
          </w:tcPr>
          <w:p>
            <w:pPr>
              <w:spacing w:after="0"/>
              <w:rPr>
                <w:sz w:val="12"/>
                <w:szCs w:val="1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220" w:type="dxa"/>
            <w:vAlign w:val="bottom"/>
            <w:vMerge w:val="restart"/>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0" w:type="dxa"/>
            <w:vAlign w:val="bottom"/>
          </w:tcPr>
          <w:p>
            <w:pPr>
              <w:spacing w:after="0"/>
              <w:rPr>
                <w:sz w:val="1"/>
                <w:szCs w:val="1"/>
                <w:color w:val="auto"/>
              </w:rPr>
            </w:pPr>
          </w:p>
        </w:tc>
      </w:tr>
      <w:tr>
        <w:trPr>
          <w:trHeight w:val="146"/>
        </w:trPr>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2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vMerge w:val="restart"/>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2"/>
                <w:szCs w:val="12"/>
                <w:color w:val="auto"/>
              </w:rPr>
            </w:pPr>
          </w:p>
        </w:tc>
        <w:tc>
          <w:tcPr>
            <w:tcW w:w="15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100" w:type="dxa"/>
            <w:vAlign w:val="bottom"/>
          </w:tcPr>
          <w:p>
            <w:pPr>
              <w:jc w:val="center"/>
              <w:ind w:right="36"/>
              <w:spacing w:after="0" w:line="146" w:lineRule="exact"/>
              <w:rPr>
                <w:sz w:val="20"/>
                <w:szCs w:val="20"/>
                <w:color w:val="auto"/>
              </w:rPr>
            </w:pPr>
            <w:r>
              <w:rPr>
                <w:rFonts w:ascii="Times New Roman" w:cs="Times New Roman" w:eastAsia="Times New Roman" w:hAnsi="Times New Roman"/>
                <w:sz w:val="14"/>
                <w:szCs w:val="14"/>
                <w:b w:val="1"/>
                <w:bCs w:val="1"/>
                <w:color w:val="auto"/>
              </w:rPr>
              <w:t>shares or units</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2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20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10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rPr>
              <w:t>of stock that</w:t>
            </w:r>
          </w:p>
        </w:tc>
        <w:tc>
          <w:tcPr>
            <w:tcW w:w="1220" w:type="dxa"/>
            <w:vAlign w:val="bottom"/>
          </w:tcPr>
          <w:p>
            <w:pPr>
              <w:jc w:val="center"/>
              <w:ind w:left="35"/>
              <w:spacing w:after="0" w:line="149" w:lineRule="exact"/>
              <w:rPr>
                <w:sz w:val="20"/>
                <w:szCs w:val="20"/>
                <w:color w:val="auto"/>
              </w:rPr>
            </w:pPr>
            <w:r>
              <w:rPr>
                <w:rFonts w:ascii="Times New Roman" w:cs="Times New Roman" w:eastAsia="Times New Roman" w:hAnsi="Times New Roman"/>
                <w:sz w:val="14"/>
                <w:szCs w:val="14"/>
                <w:b w:val="1"/>
                <w:bCs w:val="1"/>
                <w:color w:val="auto"/>
              </w:rPr>
              <w:t>shares or units of</w:t>
            </w:r>
          </w:p>
        </w:tc>
        <w:tc>
          <w:tcPr>
            <w:tcW w:w="0" w:type="dxa"/>
            <w:vAlign w:val="bottom"/>
          </w:tcPr>
          <w:p>
            <w:pPr>
              <w:spacing w:after="0"/>
              <w:rPr>
                <w:sz w:val="1"/>
                <w:szCs w:val="1"/>
                <w:color w:val="auto"/>
              </w:rPr>
            </w:pPr>
          </w:p>
        </w:tc>
      </w:tr>
      <w:tr>
        <w:trPr>
          <w:trHeight w:val="135"/>
        </w:trPr>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1"/>
                <w:szCs w:val="11"/>
                <w:color w:val="auto"/>
              </w:rPr>
            </w:pPr>
          </w:p>
        </w:tc>
        <w:tc>
          <w:tcPr>
            <w:tcW w:w="140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Grant Date (1)</w:t>
            </w:r>
          </w:p>
        </w:tc>
        <w:tc>
          <w:tcPr>
            <w:tcW w:w="20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20" w:type="dxa"/>
            <w:vAlign w:val="bottom"/>
          </w:tcPr>
          <w:p>
            <w:pPr>
              <w:spacing w:after="0"/>
              <w:rPr>
                <w:sz w:val="11"/>
                <w:szCs w:val="11"/>
                <w:color w:val="auto"/>
              </w:rPr>
            </w:pPr>
          </w:p>
        </w:tc>
        <w:tc>
          <w:tcPr>
            <w:tcW w:w="14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200" w:type="dxa"/>
            <w:vAlign w:val="bottom"/>
          </w:tcPr>
          <w:p>
            <w:pPr>
              <w:spacing w:after="0"/>
              <w:rPr>
                <w:sz w:val="11"/>
                <w:szCs w:val="11"/>
                <w:color w:val="auto"/>
              </w:rPr>
            </w:pPr>
          </w:p>
        </w:tc>
        <w:tc>
          <w:tcPr>
            <w:tcW w:w="980" w:type="dxa"/>
            <w:vAlign w:val="bottom"/>
          </w:tcPr>
          <w:p>
            <w:pPr>
              <w:jc w:val="right"/>
              <w:ind w:right="155"/>
              <w:spacing w:after="0" w:line="135"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1"/>
                <w:szCs w:val="11"/>
                <w:color w:val="auto"/>
              </w:rPr>
            </w:pPr>
          </w:p>
        </w:tc>
        <w:tc>
          <w:tcPr>
            <w:tcW w:w="15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100" w:type="dxa"/>
            <w:vAlign w:val="bottom"/>
          </w:tcPr>
          <w:p>
            <w:pPr>
              <w:jc w:val="center"/>
              <w:ind w:right="36"/>
              <w:spacing w:after="0" w:line="135" w:lineRule="exact"/>
              <w:rPr>
                <w:sz w:val="20"/>
                <w:szCs w:val="20"/>
                <w:color w:val="auto"/>
              </w:rPr>
            </w:pPr>
            <w:r>
              <w:rPr>
                <w:rFonts w:ascii="Times New Roman" w:cs="Times New Roman" w:eastAsia="Times New Roman" w:hAnsi="Times New Roman"/>
                <w:sz w:val="14"/>
                <w:szCs w:val="14"/>
                <w:b w:val="1"/>
                <w:bCs w:val="1"/>
                <w:color w:val="auto"/>
              </w:rPr>
              <w:t>have not vested</w:t>
            </w:r>
          </w:p>
        </w:tc>
        <w:tc>
          <w:tcPr>
            <w:tcW w:w="1220" w:type="dxa"/>
            <w:vAlign w:val="bottom"/>
          </w:tcPr>
          <w:p>
            <w:pPr>
              <w:jc w:val="center"/>
              <w:ind w:left="35"/>
              <w:spacing w:after="0" w:line="135" w:lineRule="exact"/>
              <w:rPr>
                <w:sz w:val="20"/>
                <w:szCs w:val="20"/>
                <w:color w:val="auto"/>
              </w:rPr>
            </w:pPr>
            <w:r>
              <w:rPr>
                <w:rFonts w:ascii="Times New Roman" w:cs="Times New Roman" w:eastAsia="Times New Roman" w:hAnsi="Times New Roman"/>
                <w:sz w:val="14"/>
                <w:szCs w:val="14"/>
                <w:b w:val="1"/>
                <w:bCs w:val="1"/>
                <w:color w:val="auto"/>
              </w:rPr>
              <w:t>stock that have</w:t>
            </w:r>
          </w:p>
        </w:tc>
        <w:tc>
          <w:tcPr>
            <w:tcW w:w="0" w:type="dxa"/>
            <w:vAlign w:val="bottom"/>
          </w:tcPr>
          <w:p>
            <w:pPr>
              <w:spacing w:after="0"/>
              <w:rPr>
                <w:sz w:val="1"/>
                <w:szCs w:val="1"/>
                <w:color w:val="auto"/>
              </w:rPr>
            </w:pPr>
          </w:p>
        </w:tc>
      </w:tr>
      <w:tr>
        <w:trPr>
          <w:trHeight w:val="198"/>
        </w:trPr>
        <w:tc>
          <w:tcPr>
            <w:tcW w:w="1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200" w:type="dxa"/>
            <w:vAlign w:val="bottom"/>
          </w:tcPr>
          <w:p>
            <w:pPr>
              <w:spacing w:after="0"/>
              <w:rPr>
                <w:sz w:val="17"/>
                <w:szCs w:val="17"/>
                <w:color w:val="auto"/>
              </w:rPr>
            </w:pPr>
          </w:p>
        </w:tc>
        <w:tc>
          <w:tcPr>
            <w:tcW w:w="98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200" w:type="dxa"/>
            <w:vAlign w:val="bottom"/>
          </w:tcPr>
          <w:p>
            <w:pPr>
              <w:spacing w:after="0"/>
              <w:rPr>
                <w:sz w:val="17"/>
                <w:szCs w:val="17"/>
                <w:color w:val="auto"/>
              </w:rPr>
            </w:pPr>
          </w:p>
        </w:tc>
        <w:tc>
          <w:tcPr>
            <w:tcW w:w="152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10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20" w:type="dxa"/>
            <w:vAlign w:val="bottom"/>
          </w:tcPr>
          <w:p>
            <w:pPr>
              <w:jc w:val="center"/>
              <w:ind w:left="35"/>
              <w:spacing w:after="0"/>
              <w:rPr>
                <w:sz w:val="20"/>
                <w:szCs w:val="20"/>
                <w:color w:val="auto"/>
              </w:rPr>
            </w:pPr>
            <w:r>
              <w:rPr>
                <w:rFonts w:ascii="Times New Roman" w:cs="Times New Roman" w:eastAsia="Times New Roman" w:hAnsi="Times New Roman"/>
                <w:sz w:val="14"/>
                <w:szCs w:val="14"/>
                <w:b w:val="1"/>
                <w:bCs w:val="1"/>
                <w:color w:val="auto"/>
              </w:rPr>
              <w:t>not vested ($)</w:t>
            </w:r>
          </w:p>
        </w:tc>
        <w:tc>
          <w:tcPr>
            <w:tcW w:w="0" w:type="dxa"/>
            <w:vAlign w:val="bottom"/>
          </w:tcPr>
          <w:p>
            <w:pPr>
              <w:spacing w:after="0"/>
              <w:rPr>
                <w:sz w:val="1"/>
                <w:szCs w:val="1"/>
                <w:color w:val="auto"/>
              </w:rPr>
            </w:pPr>
          </w:p>
        </w:tc>
      </w:tr>
      <w:tr>
        <w:trPr>
          <w:trHeight w:val="228"/>
        </w:trPr>
        <w:tc>
          <w:tcPr>
            <w:tcW w:w="1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w:t>
            </w:r>
          </w:p>
        </w:tc>
        <w:tc>
          <w:tcPr>
            <w:tcW w:w="2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9/14/2016</w:t>
            </w:r>
          </w:p>
        </w:tc>
        <w:tc>
          <w:tcPr>
            <w:tcW w:w="2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25,000</w:t>
            </w:r>
          </w:p>
        </w:tc>
        <w:tc>
          <w:tcPr>
            <w:tcW w:w="2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28.95</w:t>
            </w:r>
          </w:p>
        </w:tc>
        <w:tc>
          <w:tcPr>
            <w:tcW w:w="2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9/14/2026</w:t>
            </w:r>
          </w:p>
        </w:tc>
        <w:tc>
          <w:tcPr>
            <w:tcW w:w="2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2/15/2017</w:t>
            </w:r>
          </w:p>
        </w:tc>
        <w:tc>
          <w:tcPr>
            <w:tcW w:w="1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20.53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3/2/2018</w:t>
            </w:r>
          </w:p>
        </w:tc>
        <w:tc>
          <w:tcPr>
            <w:tcW w:w="1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28.94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3/2/2028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2/21/2019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21.88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2/21/2029</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2/20/2020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90,000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11.50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2/20/2030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2/22/2021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95,000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19.18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2/22/2022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144,375</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10,625</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10.15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137,500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62,500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16,665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39,375</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50,625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18.30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2/8/2034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22,332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35,955</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22,500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97,500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2.60</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20,000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32,200</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550,000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1.66</w:t>
            </w:r>
          </w:p>
        </w:tc>
        <w:tc>
          <w:tcPr>
            <w:tcW w:w="2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8/13/2035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Koenig,</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2/15/2017</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18"/>
                <w:szCs w:val="18"/>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20.53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2/15/2027</w:t>
            </w: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M.D., Ph.D.</w:t>
            </w:r>
          </w:p>
        </w:tc>
        <w:tc>
          <w:tcPr>
            <w:tcW w:w="1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3/2/2018</w:t>
            </w:r>
          </w:p>
        </w:tc>
        <w:tc>
          <w:tcPr>
            <w:tcW w:w="144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225,000</w:t>
            </w:r>
          </w:p>
        </w:tc>
        <w:tc>
          <w:tcPr>
            <w:tcW w:w="220" w:type="dxa"/>
            <w:vAlign w:val="bottom"/>
          </w:tcPr>
          <w:p>
            <w:pPr>
              <w:spacing w:after="0"/>
              <w:rPr>
                <w:sz w:val="20"/>
                <w:szCs w:val="20"/>
                <w:color w:val="auto"/>
              </w:rPr>
            </w:pPr>
          </w:p>
        </w:tc>
        <w:tc>
          <w:tcPr>
            <w:tcW w:w="140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28.94</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3/2/2028</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
        </w:trPr>
        <w:tc>
          <w:tcPr>
            <w:tcW w:w="1360" w:type="dxa"/>
            <w:vAlign w:val="bottom"/>
          </w:tcPr>
          <w:p>
            <w:pPr>
              <w:spacing w:after="0"/>
              <w:rPr>
                <w:sz w:val="7"/>
                <w:szCs w:val="7"/>
                <w:color w:val="auto"/>
              </w:rPr>
            </w:pPr>
          </w:p>
        </w:tc>
        <w:tc>
          <w:tcPr>
            <w:tcW w:w="1600" w:type="dxa"/>
            <w:vAlign w:val="bottom"/>
            <w:gridSpan w:val="2"/>
            <w:vMerge w:val="continue"/>
          </w:tcPr>
          <w:p>
            <w:pPr>
              <w:spacing w:after="0"/>
              <w:rPr>
                <w:sz w:val="7"/>
                <w:szCs w:val="7"/>
                <w:color w:val="auto"/>
              </w:rPr>
            </w:pPr>
          </w:p>
        </w:tc>
        <w:tc>
          <w:tcPr>
            <w:tcW w:w="14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5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2/21/2019</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260,000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21.88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2/21/2029</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2/20/2020</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290,000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11.50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2/20/2030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2/22/2021</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280,000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19.18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2/22/2031</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2/22/2022</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469,926</w:t>
            </w:r>
          </w:p>
        </w:tc>
        <w:tc>
          <w:tcPr>
            <w:tcW w:w="16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10,074</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10.15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2/22/2032</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438,280</w:t>
            </w:r>
          </w:p>
        </w:tc>
        <w:tc>
          <w:tcPr>
            <w:tcW w:w="16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71,720</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4.82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2/15/2033</w:t>
            </w:r>
          </w:p>
        </w:tc>
        <w:tc>
          <w:tcPr>
            <w:tcW w:w="20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21,165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34,076</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181,615</w:t>
            </w:r>
          </w:p>
        </w:tc>
        <w:tc>
          <w:tcPr>
            <w:tcW w:w="16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66,385</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18.30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2/8/2034</w:t>
            </w:r>
          </w:p>
        </w:tc>
        <w:tc>
          <w:tcPr>
            <w:tcW w:w="200" w:type="dxa"/>
            <w:vAlign w:val="bottom"/>
          </w:tcPr>
          <w:p>
            <w:pPr>
              <w:spacing w:after="0"/>
              <w:rPr>
                <w:sz w:val="20"/>
                <w:szCs w:val="20"/>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31,663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50,977</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9/14/2016</w:t>
            </w:r>
          </w:p>
        </w:tc>
        <w:tc>
          <w:tcPr>
            <w:tcW w:w="1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28.95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9/14/2026</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2/15/2017</w:t>
            </w:r>
          </w:p>
        </w:tc>
        <w:tc>
          <w:tcPr>
            <w:tcW w:w="1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63,279</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20.53</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2/15/2027</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3/2/2018</w:t>
            </w:r>
          </w:p>
        </w:tc>
        <w:tc>
          <w:tcPr>
            <w:tcW w:w="144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28.94</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3/2/2028</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2/21/2019</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90,000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21.88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2/21/2029</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2/20/2020</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11.50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2/20/2030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2/22/2021</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120,000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19.18</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2/22/2031</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2/22/2022</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70,312</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4,688</w:t>
            </w:r>
          </w:p>
        </w:tc>
        <w:tc>
          <w:tcPr>
            <w:tcW w:w="11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10.15</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2/22/2032</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137,500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62,500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4.82</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16,665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26,831</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39,375</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50,625</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18.30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2/8/2034</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22,332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35,955</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2/7/2025</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24,000</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104,000</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2.60</w:t>
            </w: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2/7/2035</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21,000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0" w:type="dxa"/>
            <w:vAlign w:val="bottom"/>
          </w:tcPr>
          <w:p>
            <w:pPr>
              <w:spacing w:after="0"/>
              <w:rPr>
                <w:sz w:val="1"/>
                <w:szCs w:val="1"/>
                <w:color w:val="auto"/>
              </w:rPr>
            </w:pPr>
          </w:p>
        </w:tc>
      </w:tr>
      <w:tr>
        <w:trPr>
          <w:trHeight w:val="225"/>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2/15/2017</w:t>
            </w:r>
          </w:p>
        </w:tc>
        <w:tc>
          <w:tcPr>
            <w:tcW w:w="200" w:type="dxa"/>
            <w:vAlign w:val="bottom"/>
          </w:tcPr>
          <w:p>
            <w:pPr>
              <w:spacing w:after="0"/>
              <w:rPr>
                <w:sz w:val="19"/>
                <w:szCs w:val="19"/>
                <w:color w:val="auto"/>
              </w:rPr>
            </w:pPr>
          </w:p>
        </w:tc>
        <w:tc>
          <w:tcPr>
            <w:tcW w:w="124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55,000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8"/>
                <w:szCs w:val="18"/>
                <w:color w:val="auto"/>
              </w:rPr>
              <w:t>20.53</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2/15/2027</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3/2/2018</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70,000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28.94</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3/2/2028</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2/21/2019</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85,000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21.88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2/21/2029</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2/20/2020</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90,000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11.50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2/20/2030</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2/22/2021</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95,000</w:t>
            </w:r>
          </w:p>
        </w:tc>
        <w:tc>
          <w:tcPr>
            <w:tcW w:w="220" w:type="dxa"/>
            <w:vAlign w:val="bottom"/>
          </w:tcPr>
          <w:p>
            <w:pPr>
              <w:spacing w:after="0"/>
              <w:rPr>
                <w:sz w:val="19"/>
                <w:szCs w:val="19"/>
                <w:color w:val="auto"/>
              </w:rPr>
            </w:pPr>
          </w:p>
        </w:tc>
        <w:tc>
          <w:tcPr>
            <w:tcW w:w="14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19.18</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2/22/2031</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2/22/2022</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131,250</w:t>
            </w:r>
          </w:p>
        </w:tc>
        <w:tc>
          <w:tcPr>
            <w:tcW w:w="16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8,750</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10.15</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2/22/2032</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2/15/2023</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123,750</w:t>
            </w:r>
          </w:p>
        </w:tc>
        <w:tc>
          <w:tcPr>
            <w:tcW w:w="16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56,250</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4.82</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2/15/2033</w:t>
            </w:r>
          </w:p>
        </w:tc>
        <w:tc>
          <w:tcPr>
            <w:tcW w:w="20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14,999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24,148</w:t>
            </w:r>
          </w:p>
        </w:tc>
        <w:tc>
          <w:tcPr>
            <w:tcW w:w="0" w:type="dxa"/>
            <w:vAlign w:val="bottom"/>
          </w:tcPr>
          <w:p>
            <w:pPr>
              <w:spacing w:after="0"/>
              <w:rPr>
                <w:sz w:val="1"/>
                <w:szCs w:val="1"/>
                <w:color w:val="auto"/>
              </w:rPr>
            </w:pPr>
          </w:p>
        </w:tc>
      </w:tr>
      <w:tr>
        <w:trPr>
          <w:trHeight w:val="230"/>
        </w:trPr>
        <w:tc>
          <w:tcPr>
            <w:tcW w:w="1360" w:type="dxa"/>
            <w:vAlign w:val="bottom"/>
          </w:tcPr>
          <w:p>
            <w:pPr>
              <w:spacing w:after="0"/>
              <w:rPr>
                <w:sz w:val="19"/>
                <w:szCs w:val="19"/>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2/8/2024</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35,000</w:t>
            </w:r>
          </w:p>
        </w:tc>
        <w:tc>
          <w:tcPr>
            <w:tcW w:w="16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45,000</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18.30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2/8/2034</w:t>
            </w:r>
          </w:p>
        </w:tc>
        <w:tc>
          <w:tcPr>
            <w:tcW w:w="200" w:type="dxa"/>
            <w:vAlign w:val="bottom"/>
          </w:tcPr>
          <w:p>
            <w:pPr>
              <w:spacing w:after="0"/>
              <w:rPr>
                <w:sz w:val="19"/>
                <w:szCs w:val="19"/>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19,998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32,197</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2/7/2025</w:t>
            </w:r>
          </w:p>
        </w:tc>
        <w:tc>
          <w:tcPr>
            <w:tcW w:w="144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21,187</w:t>
            </w:r>
          </w:p>
        </w:tc>
        <w:tc>
          <w:tcPr>
            <w:tcW w:w="1620" w:type="dxa"/>
            <w:vAlign w:val="bottom"/>
            <w:gridSpan w:val="2"/>
          </w:tcPr>
          <w:p>
            <w:pPr>
              <w:jc w:val="right"/>
              <w:ind w:right="53"/>
              <w:spacing w:after="0"/>
              <w:rPr>
                <w:sz w:val="20"/>
                <w:szCs w:val="20"/>
                <w:color w:val="auto"/>
              </w:rPr>
            </w:pPr>
            <w:r>
              <w:rPr>
                <w:rFonts w:ascii="Times New Roman" w:cs="Times New Roman" w:eastAsia="Times New Roman" w:hAnsi="Times New Roman"/>
                <w:sz w:val="18"/>
                <w:szCs w:val="18"/>
                <w:color w:val="auto"/>
              </w:rPr>
              <w:t>91,813</w:t>
            </w:r>
          </w:p>
        </w:tc>
        <w:tc>
          <w:tcPr>
            <w:tcW w:w="11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2.60</w:t>
            </w: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2/7/2035</w:t>
            </w:r>
          </w:p>
        </w:tc>
        <w:tc>
          <w:tcPr>
            <w:tcW w:w="200" w:type="dxa"/>
            <w:vAlign w:val="bottom"/>
          </w:tcPr>
          <w:p>
            <w:pPr>
              <w:spacing w:after="0"/>
              <w:rPr>
                <w:sz w:val="20"/>
                <w:szCs w:val="20"/>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8"/>
                <w:szCs w:val="18"/>
                <w:color w:val="auto"/>
              </w:rPr>
              <w:t>19,000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30,590</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460" w:hanging="412"/>
        <w:spacing w:after="0" w:line="261" w:lineRule="auto"/>
        <w:tabs>
          <w:tab w:leader="none" w:pos="44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Options granted prior to August 13, 2025 vest and become exercisable with respect to (a) 12.5 percent of the underlying shares six months after the grant date and (b) the remainder of the underlying shares in 14 substantially equal quarterly installments. Options granted on or after August 13, 2025 vest and become exercisable with respect to (a) 25 percent of the underlying shares one year after the grant date and (b) the remainder of the underlying shares in 12 substantially equal quarterly installments. RSUs vest on an annual basis equally over three years.</w:t>
      </w:r>
    </w:p>
    <w:p>
      <w:pPr>
        <w:sectPr>
          <w:pgSz w:w="11900" w:h="16838" w:orient="portrait"/>
          <w:cols w:equalWidth="0" w:num="1">
            <w:col w:w="11240"/>
          </w:cols>
          <w:pgMar w:left="320" w:top="121" w:right="339" w:bottom="137"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37"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Overview of Employment Agreements and Potential Payments Upon Termination or Change in Control</w:t>
      </w:r>
    </w:p>
    <w:p>
      <w:pPr>
        <w:spacing w:after="0" w:line="229"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employment agreements in place with each of its named executive officers. The employment agreements provide for certain payments upon a named executive officer’s termination, as described below. All of the named executive officers are “at-will” employees, which means they have no definitive terms of employment.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Mr. Risser</w:t>
      </w:r>
    </w:p>
    <w:p>
      <w:pPr>
        <w:spacing w:after="0" w:line="214" w:lineRule="exact"/>
        <w:rPr>
          <w:sz w:val="20"/>
          <w:szCs w:val="20"/>
          <w:color w:val="auto"/>
        </w:rPr>
      </w:pPr>
    </w:p>
    <w:p>
      <w:pPr>
        <w:ind w:firstLine="445"/>
        <w:spacing w:after="0" w:line="242" w:lineRule="auto"/>
        <w:rPr>
          <w:sz w:val="20"/>
          <w:szCs w:val="20"/>
          <w:color w:val="auto"/>
        </w:rPr>
      </w:pPr>
      <w:r>
        <w:rPr>
          <w:rFonts w:ascii="Times New Roman" w:cs="Times New Roman" w:eastAsia="Times New Roman" w:hAnsi="Times New Roman"/>
          <w:sz w:val="18"/>
          <w:szCs w:val="18"/>
          <w:color w:val="auto"/>
        </w:rPr>
        <w:t>In connection with his promotion to President and Chief Executive Officer, we entered into an amended and restated employment agreement with Mr. Risser, dated August 13, 2025 (the “Amended Employment Agreement”). Under the Amended Employment Agreement, Mr. Risser will receive an annual base salary of $625,000, which is subject to redetermination annually by the Human Capital Management Committee of the Board, and he is eligible to earn annual incentive compensation of up to 60% of his base salary. Mr. Risser was also granted a stock option award to purchase 550,000 shares of the Company’s common stock at an exercise price equal to the closing per-share trading price of the common stock on the Effective Date.</w:t>
      </w:r>
    </w:p>
    <w:p>
      <w:pPr>
        <w:spacing w:after="0" w:line="185" w:lineRule="exact"/>
        <w:rPr>
          <w:sz w:val="20"/>
          <w:szCs w:val="20"/>
          <w:color w:val="auto"/>
        </w:rPr>
      </w:pPr>
    </w:p>
    <w:p>
      <w:pPr>
        <w:ind w:right="40" w:firstLine="445"/>
        <w:spacing w:after="0"/>
        <w:rPr>
          <w:sz w:val="20"/>
          <w:szCs w:val="20"/>
          <w:color w:val="auto"/>
        </w:rPr>
      </w:pPr>
      <w:r>
        <w:rPr>
          <w:rFonts w:ascii="Times New Roman" w:cs="Times New Roman" w:eastAsia="Times New Roman" w:hAnsi="Times New Roman"/>
          <w:sz w:val="18"/>
          <w:szCs w:val="18"/>
          <w:color w:val="auto"/>
        </w:rPr>
        <w:t>Mr. Risser is eligible to receive severance benefits in specified circumstances. Under the terms of his Amended Employment Agreement, upon execution and delivery of an irrevocable release of claims against the Company and subject to his continued compliance with the non-competition and non-solicitation, confidentiality and invention assignment provisions, Mr. Risser will be entitled to severance benefits if we terminate his employment without Cause or if he terminates employment with us for Good Reason, absent or in connection with a Change of Control.</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schedule of severance benefits Mr. Risser would receive in the event of such a qualifying termination.</w:t>
      </w:r>
    </w:p>
    <w:p>
      <w:pPr>
        <w:sectPr>
          <w:pgSz w:w="11900" w:h="16838" w:orient="portrait"/>
          <w:cols w:equalWidth="0" w:num="1">
            <w:col w:w="11240"/>
          </w:cols>
          <w:pgMar w:left="320" w:top="981" w:right="339" w:bottom="0" w:gutter="0" w:footer="0" w:header="0"/>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Scenario</w:t>
            </w:r>
          </w:p>
        </w:tc>
        <w:tc>
          <w:tcPr>
            <w:tcW w:w="2740" w:type="dxa"/>
            <w:vAlign w:val="bottom"/>
          </w:tcPr>
          <w:p>
            <w:pPr>
              <w:ind w:left="880"/>
              <w:spacing w:after="0"/>
              <w:rPr>
                <w:sz w:val="20"/>
                <w:szCs w:val="20"/>
                <w:color w:val="auto"/>
              </w:rPr>
            </w:pPr>
            <w:r>
              <w:rPr>
                <w:rFonts w:ascii="Times New Roman" w:cs="Times New Roman" w:eastAsia="Times New Roman" w:hAnsi="Times New Roman"/>
                <w:sz w:val="14"/>
                <w:szCs w:val="14"/>
                <w:b w:val="1"/>
                <w:bCs w:val="1"/>
                <w:color w:val="auto"/>
              </w:rPr>
              <w:t>Cash Severance</w:t>
            </w:r>
          </w:p>
        </w:tc>
      </w:tr>
      <w:tr>
        <w:trPr>
          <w:trHeight w:val="186"/>
        </w:trPr>
        <w:tc>
          <w:tcPr>
            <w:tcW w:w="25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r>
        <w:trPr>
          <w:trHeight w:val="191"/>
        </w:trPr>
        <w:tc>
          <w:tcPr>
            <w:tcW w:w="25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Absent a Change of Control</w:t>
            </w:r>
          </w:p>
        </w:tc>
        <w:tc>
          <w:tcPr>
            <w:tcW w:w="140" w:type="dxa"/>
            <w:vAlign w:val="bottom"/>
          </w:tcPr>
          <w:p>
            <w:pPr>
              <w:spacing w:after="0"/>
              <w:rPr>
                <w:sz w:val="16"/>
                <w:szCs w:val="16"/>
                <w:color w:val="auto"/>
              </w:rPr>
            </w:pPr>
          </w:p>
        </w:tc>
        <w:tc>
          <w:tcPr>
            <w:tcW w:w="274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1.0 times his base salary plus 1.0</w:t>
            </w:r>
          </w:p>
        </w:tc>
      </w:tr>
      <w:tr>
        <w:trPr>
          <w:trHeight w:val="203"/>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times his target bonus (as in effect</w:t>
            </w:r>
          </w:p>
        </w:tc>
      </w:tr>
      <w:tr>
        <w:trPr>
          <w:trHeight w:val="203"/>
        </w:trPr>
        <w:tc>
          <w:tcPr>
            <w:tcW w:w="2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immediately prior to termination),</w:t>
            </w:r>
          </w:p>
        </w:tc>
      </w:tr>
      <w:tr>
        <w:trPr>
          <w:trHeight w:val="234"/>
        </w:trPr>
        <w:tc>
          <w:tcPr>
            <w:tcW w:w="2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prorated</w:t>
            </w:r>
          </w:p>
        </w:tc>
      </w:tr>
      <w:tr>
        <w:trPr>
          <w:trHeight w:val="535"/>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Termination occurs within One</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 times his base salary plus 1.5</w:t>
            </w:r>
          </w:p>
        </w:tc>
      </w:tr>
      <w:tr>
        <w:trPr>
          <w:trHeight w:val="202"/>
        </w:trPr>
        <w:tc>
          <w:tcPr>
            <w:tcW w:w="266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Year Following a Change of</w:t>
            </w:r>
          </w:p>
        </w:tc>
        <w:tc>
          <w:tcPr>
            <w:tcW w:w="274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times his target bonus (as in effect</w:t>
            </w:r>
          </w:p>
        </w:tc>
      </w:tr>
      <w:tr>
        <w:trPr>
          <w:trHeight w:val="234"/>
        </w:trPr>
        <w:tc>
          <w:tcPr>
            <w:tcW w:w="2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Control</w:t>
            </w:r>
          </w:p>
        </w:tc>
        <w:tc>
          <w:tcPr>
            <w:tcW w:w="2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immediately prior to termination)</w:t>
            </w:r>
          </w:p>
        </w:tc>
      </w:tr>
    </w:tbl>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Continuation of</w:t>
      </w:r>
    </w:p>
    <w:p>
      <w:pPr>
        <w:spacing w:after="0" w:line="19"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Health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22225</wp:posOffset>
            </wp:positionV>
            <wp:extent cx="1748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months</w:t>
      </w:r>
    </w:p>
    <w:p>
      <w:pPr>
        <w:spacing w:after="0" w:line="16"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(or until Mr. Risser obtains other employment which</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provides the same type of benefit, if earlier)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months</w:t>
      </w:r>
    </w:p>
    <w:p>
      <w:pPr>
        <w:spacing w:after="0" w:line="16" w:lineRule="exact"/>
        <w:rPr>
          <w:sz w:val="20"/>
          <w:szCs w:val="20"/>
          <w:color w:val="auto"/>
        </w:rPr>
      </w:pPr>
    </w:p>
    <w:p>
      <w:pPr>
        <w:ind w:right="240"/>
        <w:spacing w:after="0" w:line="234" w:lineRule="auto"/>
        <w:rPr>
          <w:sz w:val="20"/>
          <w:szCs w:val="20"/>
          <w:color w:val="auto"/>
        </w:rPr>
      </w:pPr>
      <w:r>
        <w:rPr>
          <w:rFonts w:ascii="Times New Roman" w:cs="Times New Roman" w:eastAsia="Times New Roman" w:hAnsi="Times New Roman"/>
          <w:sz w:val="18"/>
          <w:szCs w:val="18"/>
          <w:color w:val="auto"/>
        </w:rPr>
        <w:t>(or until Mr. Risser obtains other employment which</w:t>
      </w:r>
    </w:p>
    <w:p>
      <w:pPr>
        <w:spacing w:after="0" w:line="1"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provides the same type of benefit, if earlier)</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Acceleration of</w:t>
      </w:r>
    </w:p>
    <w:p>
      <w:pPr>
        <w:spacing w:after="0" w:line="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4"/>
          <w:szCs w:val="14"/>
          <w:b w:val="1"/>
          <w:bCs w:val="1"/>
          <w:color w:val="auto"/>
        </w:rPr>
        <w:t>Unvested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22225</wp:posOffset>
            </wp:positionV>
            <wp:extent cx="17399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100% of the shares with respect to which any equity awards are not vested</w:t>
      </w:r>
    </w:p>
    <w:p>
      <w:pPr>
        <w:spacing w:after="0" w:line="500" w:lineRule="exact"/>
        <w:rPr>
          <w:sz w:val="20"/>
          <w:szCs w:val="20"/>
          <w:color w:val="auto"/>
        </w:rPr>
      </w:pPr>
    </w:p>
    <w:p>
      <w:pPr>
        <w:sectPr>
          <w:pgSz w:w="11900" w:h="16838" w:orient="portrait"/>
          <w:cols w:equalWidth="0" w:num="3">
            <w:col w:w="5400" w:space="140"/>
            <w:col w:w="2600" w:space="300"/>
            <w:col w:w="2800"/>
          </w:cols>
          <w:pgMar w:left="320" w:top="981" w:right="339" w:bottom="0" w:gutter="0" w:footer="0" w:header="0"/>
          <w:type w:val="continuous"/>
        </w:sectPr>
      </w:pPr>
    </w:p>
    <w:p>
      <w:pPr>
        <w:ind w:left="420"/>
        <w:spacing w:after="0"/>
        <w:rPr>
          <w:sz w:val="20"/>
          <w:szCs w:val="20"/>
          <w:color w:val="auto"/>
        </w:rPr>
      </w:pPr>
      <w:r>
        <w:rPr>
          <w:rFonts w:ascii="Times New Roman" w:cs="Times New Roman" w:eastAsia="Times New Roman" w:hAnsi="Times New Roman"/>
          <w:sz w:val="18"/>
          <w:szCs w:val="18"/>
          <w:color w:val="auto"/>
        </w:rPr>
        <w:t>The following definitions are used in the Amended Employment Agreement:</w:t>
      </w:r>
    </w:p>
    <w:p>
      <w:pPr>
        <w:spacing w:after="0" w:line="293" w:lineRule="exact"/>
        <w:rPr>
          <w:sz w:val="20"/>
          <w:szCs w:val="20"/>
          <w:color w:val="auto"/>
        </w:rPr>
      </w:pPr>
    </w:p>
    <w:p>
      <w:pPr>
        <w:ind w:left="700" w:hanging="125"/>
        <w:spacing w:after="0"/>
        <w:tabs>
          <w:tab w:leader="none" w:pos="70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means: (a) a failure to substantially perform the duties with us (if the failure to substantially perform is not cured, if curable, within thirty</w:t>
      </w:r>
    </w:p>
    <w:p>
      <w:pPr>
        <w:spacing w:after="0" w:line="38" w:lineRule="exact"/>
        <w:rPr>
          <w:rFonts w:ascii="Times New Roman" w:cs="Times New Roman" w:eastAsia="Times New Roman" w:hAnsi="Times New Roman"/>
          <w:sz w:val="17"/>
          <w:szCs w:val="17"/>
          <w:color w:val="auto"/>
        </w:rPr>
      </w:pPr>
    </w:p>
    <w:p>
      <w:pPr>
        <w:ind w:left="980" w:right="280"/>
        <w:spacing w:after="0" w:line="252" w:lineRule="auto"/>
        <w:tabs>
          <w:tab w:leader="none" w:pos="132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of written notice from the Board of Directors that specifies the conduct constituting Cause under this clause (a)); (b) willful misconduct, or gross negligence in the performance of duties to us; (c) the conviction or entry of a guilty plea or plea of no contest with respect to, any crime that constitutes a felony or involves fraud, dishonesty or moral turpitude; (d) commission of an act of fraud, embezzlement or misappropriation against us; (e) a material breach of the fiduciary duty owed to us; (f) engaging in any grossly improper conduct that has or is likely to have a material adverse economic or reputational impact on us; or (g) a material breach of the Amended Employment Agreement.</w:t>
      </w:r>
    </w:p>
    <w:p>
      <w:pPr>
        <w:spacing w:after="0" w:line="14" w:lineRule="exact"/>
        <w:rPr>
          <w:rFonts w:ascii="Times New Roman" w:cs="Times New Roman" w:eastAsia="Times New Roman" w:hAnsi="Times New Roman"/>
          <w:sz w:val="18"/>
          <w:szCs w:val="18"/>
          <w:color w:val="auto"/>
        </w:rPr>
      </w:pPr>
    </w:p>
    <w:p>
      <w:pPr>
        <w:ind w:left="980" w:right="60" w:hanging="405"/>
        <w:spacing w:after="0" w:line="253" w:lineRule="auto"/>
        <w:tabs>
          <w:tab w:leader="none" w:pos="69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means: (a) any person (excluding our employee benefit plans) is or becomes the “beneficial owner” (as defined in Rules 13d-3 and 13d-5 under the Exchange Act) directly or indirectly, of securities representing more than fifty percent (50%) of the combined voting power of our then outstanding securities; (b) we consummate a merger, consolidation, share exchange, division or other reorganization or transaction with any other corporation unless our outstanding securities immediately prior to the transaction continue to represent at least 50% of the combined voting power immediately after the transaction; or (c) stockholder approval of the liquidation or winding-up of our company or the consummation of the sale or disposition of all or substantially all of our assets; or (d) during any period of 24 consecutive months, individuals who at the beginning of such period constituted our Board (including for this purpose any new director whose election or nomination for election by the stockholders was approved by a vote of at least two-thirds of the directors then still in office who were directors at the beginning of such period or whose appointment, election or nomination was previously so approved or recommended) cease for any reason to constitute at least a majority of the Board of Directors.</w:t>
      </w:r>
    </w:p>
    <w:p>
      <w:pPr>
        <w:spacing w:after="0" w:line="18" w:lineRule="exact"/>
        <w:rPr>
          <w:rFonts w:ascii="Times New Roman" w:cs="Times New Roman" w:eastAsia="Times New Roman" w:hAnsi="Times New Roman"/>
          <w:sz w:val="18"/>
          <w:szCs w:val="18"/>
          <w:color w:val="auto"/>
        </w:rPr>
      </w:pPr>
    </w:p>
    <w:p>
      <w:pPr>
        <w:ind w:left="700" w:hanging="125"/>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means the occurrence of any of the following events (without the executive’s consent):</w:t>
      </w:r>
    </w:p>
    <w:p>
      <w:pPr>
        <w:spacing w:after="0" w:line="27" w:lineRule="exact"/>
        <w:rPr>
          <w:sz w:val="20"/>
          <w:szCs w:val="20"/>
          <w:color w:val="auto"/>
        </w:rPr>
      </w:pPr>
    </w:p>
    <w:p>
      <w:pPr>
        <w:ind w:left="980" w:right="80"/>
        <w:spacing w:after="0" w:line="252" w:lineRule="auto"/>
        <w:tabs>
          <w:tab w:leader="none" w:pos="122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adverse change in functions, duties, or responsibilities that would cause the executive’s position to become one of materially lesser responsibility, importance, or scope; (b) a change in the geographic location at which Mr. Risser must perform services of 50 miles or more from Rockville, Maryland (unless permitted to telecommute); or (c) a material breach of the Amended Employment Agreement by us. No resignation will be treated as “good reason” unless (a) the executive has given written notice of such event to us within six months after the initial occurrence thereof, (b) we have failed to cure the condition constituting “good reason” within 30 days following the delivery of the notice, and (c) the executive terminates employment within thirty (30) days after expiration of such cure period.</w:t>
      </w:r>
    </w:p>
    <w:p>
      <w:pPr>
        <w:spacing w:after="0" w:line="1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Dr. Koenig</w:t>
      </w:r>
    </w:p>
    <w:p>
      <w:pPr>
        <w:spacing w:after="0" w:line="2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Separation Agreement</w:t>
      </w:r>
    </w:p>
    <w:p>
      <w:pPr>
        <w:spacing w:after="0" w:line="252" w:lineRule="exact"/>
        <w:rPr>
          <w:sz w:val="20"/>
          <w:szCs w:val="20"/>
          <w:color w:val="auto"/>
        </w:rPr>
      </w:pPr>
    </w:p>
    <w:p>
      <w:pPr>
        <w:ind w:right="80" w:firstLine="445"/>
        <w:spacing w:after="0" w:line="281" w:lineRule="auto"/>
        <w:rPr>
          <w:sz w:val="20"/>
          <w:szCs w:val="20"/>
          <w:color w:val="auto"/>
        </w:rPr>
      </w:pPr>
      <w:r>
        <w:rPr>
          <w:rFonts w:ascii="Times New Roman" w:cs="Times New Roman" w:eastAsia="Times New Roman" w:hAnsi="Times New Roman"/>
          <w:sz w:val="18"/>
          <w:szCs w:val="18"/>
          <w:color w:val="auto"/>
        </w:rPr>
        <w:t>On October 25, 2024, we entered into the Separation Agreement, as subsequently amended on February 25, 2025, with Dr. Koenig to provide for the terms of Dr. Koenig’s separation from employment. See “Separation Agreement with Dr. Koenig” above. The Separation Agreement supersedes the terms of Dr. Koenig's 2013 employment agreement's severance benefits described below. The Separation Agreement contains mutual releases, subject to customary exceptions, and mutual covenants not to disparage.</w:t>
      </w:r>
    </w:p>
    <w:p>
      <w:pPr>
        <w:spacing w:after="0" w:line="192" w:lineRule="exact"/>
        <w:rPr>
          <w:sz w:val="20"/>
          <w:szCs w:val="20"/>
          <w:color w:val="auto"/>
        </w:rPr>
      </w:pPr>
    </w:p>
    <w:p>
      <w:pPr>
        <w:ind w:right="140" w:firstLine="445"/>
        <w:spacing w:after="0" w:line="282" w:lineRule="auto"/>
        <w:rPr>
          <w:sz w:val="20"/>
          <w:szCs w:val="20"/>
          <w:color w:val="auto"/>
        </w:rPr>
      </w:pPr>
      <w:r>
        <w:rPr>
          <w:rFonts w:ascii="Times New Roman" w:cs="Times New Roman" w:eastAsia="Times New Roman" w:hAnsi="Times New Roman"/>
          <w:sz w:val="18"/>
          <w:szCs w:val="18"/>
          <w:color w:val="auto"/>
        </w:rPr>
        <w:t>For comparison purposes between severance benefits of the Separation Agreement described above, the following table summarizes the schedule of severance benefits set forth in the Dr. Koenig's employment agreement in the event of such a qualifying termination.</w:t>
      </w:r>
    </w:p>
    <w:p>
      <w:pPr>
        <w:sectPr>
          <w:pgSz w:w="11900" w:h="16838" w:orient="portrait"/>
          <w:cols w:equalWidth="0" w:num="1">
            <w:col w:w="11240"/>
          </w:cols>
          <w:pgMar w:left="320" w:top="981" w:right="339" w:bottom="0" w:gutter="0" w:footer="0" w:header="0"/>
          <w:type w:val="continuous"/>
        </w:sectPr>
      </w:pPr>
    </w:p>
    <w:bookmarkStart w:id="46" w:name="page47"/>
    <w:bookmarkEnd w:id="46"/>
    <w:p>
      <w:pPr>
        <w:spacing w:after="0" w:line="13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158559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Absent a Change of Control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17"/>
          <w:szCs w:val="17"/>
          <w:color w:val="auto"/>
        </w:rPr>
        <w:t>Termination occurs within Two Years Following a Change of</w:t>
      </w:r>
    </w:p>
    <w:p>
      <w:pPr>
        <w:ind w:left="80"/>
        <w:spacing w:after="0"/>
        <w:rPr>
          <w:sz w:val="20"/>
          <w:szCs w:val="20"/>
          <w:color w:val="auto"/>
        </w:rPr>
      </w:pPr>
      <w:r>
        <w:rPr>
          <w:rFonts w:ascii="Times New Roman" w:cs="Times New Roman" w:eastAsia="Times New Roman" w:hAnsi="Times New Roman"/>
          <w:sz w:val="18"/>
          <w:szCs w:val="18"/>
          <w:color w:val="auto"/>
        </w:rPr>
        <w:t>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Dr. Bonvini</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Salary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33655</wp:posOffset>
            </wp:positionV>
            <wp:extent cx="1714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41"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24 months of base salary and target bonus (as in effect</w:t>
      </w:r>
    </w:p>
    <w:p>
      <w:pPr>
        <w:jc w:val="center"/>
        <w:spacing w:after="0"/>
        <w:rPr>
          <w:sz w:val="20"/>
          <w:szCs w:val="20"/>
          <w:color w:val="auto"/>
        </w:rPr>
      </w:pPr>
      <w:r>
        <w:rPr>
          <w:rFonts w:ascii="Times New Roman" w:cs="Times New Roman" w:eastAsia="Times New Roman" w:hAnsi="Times New Roman"/>
          <w:sz w:val="17"/>
          <w:szCs w:val="17"/>
          <w:color w:val="auto"/>
        </w:rPr>
        <w:t>immediately prior to termination)</w:t>
      </w:r>
    </w:p>
    <w:p>
      <w:pPr>
        <w:spacing w:after="0" w:line="298"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17"/>
          <w:szCs w:val="17"/>
          <w:color w:val="auto"/>
        </w:rPr>
        <w:t>24 months of base salary and target bonus (as in effect</w:t>
      </w:r>
    </w:p>
    <w:p>
      <w:pPr>
        <w:jc w:val="center"/>
        <w:spacing w:after="0"/>
        <w:rPr>
          <w:sz w:val="20"/>
          <w:szCs w:val="20"/>
          <w:color w:val="auto"/>
        </w:rPr>
      </w:pPr>
      <w:r>
        <w:rPr>
          <w:rFonts w:ascii="Times New Roman" w:cs="Times New Roman" w:eastAsia="Times New Roman" w:hAnsi="Times New Roman"/>
          <w:sz w:val="17"/>
          <w:szCs w:val="17"/>
          <w:color w:val="auto"/>
        </w:rPr>
        <w:t>immediately prior to termination)</w:t>
      </w:r>
    </w:p>
    <w:p>
      <w:pPr>
        <w:spacing w:after="0" w:line="20" w:lineRule="exact"/>
        <w:rPr>
          <w:sz w:val="20"/>
          <w:szCs w:val="20"/>
          <w:color w:val="auto"/>
        </w:rPr>
      </w:pPr>
      <w:r>
        <w:rPr>
          <w:sz w:val="20"/>
          <w:szCs w:val="20"/>
          <w:color w:val="auto"/>
        </w:rPr>
        <w:br w:type="column"/>
      </w:r>
    </w:p>
    <w:p>
      <w:pPr>
        <w:ind w:left="720"/>
        <w:spacing w:after="0"/>
        <w:rPr>
          <w:sz w:val="20"/>
          <w:szCs w:val="20"/>
          <w:color w:val="auto"/>
        </w:rPr>
      </w:pPr>
      <w:r>
        <w:rPr>
          <w:rFonts w:ascii="Times New Roman" w:cs="Times New Roman" w:eastAsia="Times New Roman" w:hAnsi="Times New Roman"/>
          <w:sz w:val="14"/>
          <w:szCs w:val="14"/>
          <w:b w:val="1"/>
          <w:bCs w:val="1"/>
          <w:color w:val="auto"/>
        </w:rPr>
        <w:t>Continuation of</w:t>
      </w:r>
    </w:p>
    <w:p>
      <w:pPr>
        <w:spacing w:after="0" w:line="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4"/>
          <w:szCs w:val="14"/>
          <w:b w:val="1"/>
          <w:bCs w:val="1"/>
          <w:color w:val="auto"/>
        </w:rPr>
        <w:t>Health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-90170</wp:posOffset>
            </wp:positionH>
            <wp:positionV relativeFrom="paragraph">
              <wp:posOffset>13335</wp:posOffset>
            </wp:positionV>
            <wp:extent cx="1722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22755" cy="8255"/>
                    </a:xfrm>
                    <a:prstGeom prst="rect">
                      <a:avLst/>
                    </a:prstGeom>
                    <a:noFill/>
                  </pic:spPr>
                </pic:pic>
              </a:graphicData>
            </a:graphic>
          </wp:anchor>
        </w:drawing>
      </w:r>
    </w:p>
    <w:p>
      <w:pPr>
        <w:spacing w:after="0" w:line="10"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24 months (or until Dr. Koenig obtains other employment which</w:t>
      </w:r>
    </w:p>
    <w:p>
      <w:pPr>
        <w:spacing w:after="0" w:line="203" w:lineRule="auto"/>
        <w:rPr>
          <w:sz w:val="20"/>
          <w:szCs w:val="20"/>
          <w:color w:val="auto"/>
        </w:rPr>
      </w:pPr>
      <w:r>
        <w:rPr>
          <w:rFonts w:ascii="Times New Roman" w:cs="Times New Roman" w:eastAsia="Times New Roman" w:hAnsi="Times New Roman"/>
          <w:sz w:val="18"/>
          <w:szCs w:val="18"/>
          <w:color w:val="auto"/>
        </w:rPr>
        <w:t>provides the same</w:t>
      </w:r>
    </w:p>
    <w:p>
      <w:pPr>
        <w:spacing w:after="0"/>
        <w:rPr>
          <w:sz w:val="20"/>
          <w:szCs w:val="20"/>
          <w:color w:val="auto"/>
        </w:rPr>
      </w:pPr>
      <w:r>
        <w:rPr>
          <w:rFonts w:ascii="Times New Roman" w:cs="Times New Roman" w:eastAsia="Times New Roman" w:hAnsi="Times New Roman"/>
          <w:sz w:val="18"/>
          <w:szCs w:val="18"/>
          <w:color w:val="auto"/>
        </w:rPr>
        <w:t>type of benefit, if earlier)</w:t>
      </w:r>
    </w:p>
    <w:p>
      <w:pPr>
        <w:spacing w:after="0" w:line="11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24 months (or until Dr. Koenig obtains other employment which</w:t>
      </w:r>
    </w:p>
    <w:p>
      <w:pPr>
        <w:spacing w:after="0" w:line="203" w:lineRule="auto"/>
        <w:rPr>
          <w:sz w:val="20"/>
          <w:szCs w:val="20"/>
          <w:color w:val="auto"/>
        </w:rPr>
      </w:pPr>
      <w:r>
        <w:rPr>
          <w:rFonts w:ascii="Times New Roman" w:cs="Times New Roman" w:eastAsia="Times New Roman" w:hAnsi="Times New Roman"/>
          <w:sz w:val="18"/>
          <w:szCs w:val="18"/>
          <w:color w:val="auto"/>
        </w:rPr>
        <w:t>provides the same</w:t>
      </w:r>
    </w:p>
    <w:p>
      <w:pPr>
        <w:spacing w:after="0"/>
        <w:rPr>
          <w:sz w:val="20"/>
          <w:szCs w:val="20"/>
          <w:color w:val="auto"/>
        </w:rPr>
      </w:pPr>
      <w:r>
        <w:rPr>
          <w:rFonts w:ascii="Times New Roman" w:cs="Times New Roman" w:eastAsia="Times New Roman" w:hAnsi="Times New Roman"/>
          <w:sz w:val="18"/>
          <w:szCs w:val="18"/>
          <w:color w:val="auto"/>
        </w:rPr>
        <w:t>type of benefit, if earlier)</w:t>
      </w:r>
    </w:p>
    <w:p>
      <w:pPr>
        <w:spacing w:after="0" w:line="20" w:lineRule="exact"/>
        <w:rPr>
          <w:sz w:val="20"/>
          <w:szCs w:val="20"/>
          <w:color w:val="auto"/>
        </w:rPr>
      </w:pPr>
      <w:r>
        <w:rPr>
          <w:sz w:val="20"/>
          <w:szCs w:val="20"/>
          <w:color w:val="auto"/>
        </w:rPr>
        <w:br w:type="column"/>
      </w:r>
    </w:p>
    <w:p>
      <w:pPr>
        <w:ind w:left="760"/>
        <w:spacing w:after="0"/>
        <w:rPr>
          <w:sz w:val="20"/>
          <w:szCs w:val="20"/>
          <w:color w:val="auto"/>
        </w:rPr>
      </w:pPr>
      <w:r>
        <w:rPr>
          <w:rFonts w:ascii="Times New Roman" w:cs="Times New Roman" w:eastAsia="Times New Roman" w:hAnsi="Times New Roman"/>
          <w:sz w:val="14"/>
          <w:szCs w:val="14"/>
          <w:b w:val="1"/>
          <w:bCs w:val="1"/>
          <w:color w:val="auto"/>
        </w:rPr>
        <w:t>Acceleration of</w:t>
      </w:r>
    </w:p>
    <w:p>
      <w:pPr>
        <w:spacing w:after="0" w:line="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b w:val="1"/>
          <w:bCs w:val="1"/>
          <w:color w:val="auto"/>
        </w:rPr>
        <w:t>Unvested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-92710</wp:posOffset>
            </wp:positionH>
            <wp:positionV relativeFrom="paragraph">
              <wp:posOffset>13335</wp:posOffset>
            </wp:positionV>
            <wp:extent cx="17316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50% of the shares with</w:t>
      </w:r>
    </w:p>
    <w:p>
      <w:pPr>
        <w:ind w:right="20"/>
        <w:spacing w:after="0" w:line="233" w:lineRule="auto"/>
        <w:rPr>
          <w:sz w:val="20"/>
          <w:szCs w:val="20"/>
          <w:color w:val="auto"/>
        </w:rPr>
      </w:pPr>
      <w:r>
        <w:rPr>
          <w:rFonts w:ascii="Times New Roman" w:cs="Times New Roman" w:eastAsia="Times New Roman" w:hAnsi="Times New Roman"/>
          <w:sz w:val="18"/>
          <w:szCs w:val="18"/>
          <w:color w:val="auto"/>
        </w:rPr>
        <w:t>respect to which the stock option is not vested</w:t>
      </w:r>
    </w:p>
    <w:p>
      <w:pPr>
        <w:spacing w:after="0" w:line="280" w:lineRule="exact"/>
        <w:rPr>
          <w:sz w:val="20"/>
          <w:szCs w:val="20"/>
          <w:color w:val="auto"/>
        </w:rPr>
      </w:pPr>
    </w:p>
    <w:p>
      <w:pPr>
        <w:ind w:right="80"/>
        <w:spacing w:after="0" w:line="222" w:lineRule="auto"/>
        <w:rPr>
          <w:sz w:val="20"/>
          <w:szCs w:val="20"/>
          <w:color w:val="auto"/>
        </w:rPr>
      </w:pPr>
      <w:r>
        <w:rPr>
          <w:rFonts w:ascii="Times New Roman" w:cs="Times New Roman" w:eastAsia="Times New Roman" w:hAnsi="Times New Roman"/>
          <w:sz w:val="18"/>
          <w:szCs w:val="18"/>
          <w:color w:val="auto"/>
        </w:rPr>
        <w:t>100% of the shares with respect to which the stock option is not</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vested</w:t>
      </w:r>
    </w:p>
    <w:p>
      <w:pPr>
        <w:spacing w:after="0" w:line="1244" w:lineRule="exact"/>
        <w:rPr>
          <w:sz w:val="20"/>
          <w:szCs w:val="20"/>
          <w:color w:val="auto"/>
        </w:rPr>
      </w:pPr>
    </w:p>
    <w:p>
      <w:pPr>
        <w:sectPr>
          <w:pgSz w:w="11900" w:h="16838" w:orient="portrait"/>
          <w:cols w:equalWidth="0" w:num="4">
            <w:col w:w="2340" w:space="500"/>
            <w:col w:w="2400" w:space="500"/>
            <w:col w:w="2360" w:space="560"/>
            <w:col w:w="2560"/>
          </w:cols>
          <w:pgMar w:left="320" w:top="155" w:right="359" w:bottom="28" w:gutter="0" w:footer="0" w:header="0"/>
        </w:sectPr>
      </w:pP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March 8, 2016, we entered into an employment with Dr. Bonvini, as amended on January 1, 2025.</w:t>
      </w:r>
    </w:p>
    <w:p>
      <w:pPr>
        <w:spacing w:after="0" w:line="252" w:lineRule="exact"/>
        <w:rPr>
          <w:sz w:val="20"/>
          <w:szCs w:val="20"/>
          <w:color w:val="auto"/>
        </w:rPr>
      </w:pPr>
    </w:p>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Dr. Bonvini’s employment agreement includes non-competition and non-solicitation provisions that will prohibit him from competing with us, soliciting our customers or employees, or hiring our employees for a period of 12 months following the end of his employment with us for any reason. Dr. Bonvini is also subject to confidentiality and invention disclosure and assignment obligations.</w:t>
      </w:r>
    </w:p>
    <w:p>
      <w:pPr>
        <w:spacing w:after="0" w:line="203"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Dr. Bonvini is also eligible to receive severance benefits in specified circumstances. Upon his death or termination for disability, Dr. Bonvini would be eligible to receive any earned but unpaid bonus obligation relating to the prior fiscal year and certain other accrued but unpaid obligations. Under the terms of the agreement, upon execution and delivery of an irrevocable release of claims against the Company and subject to his continued compliance with the non-competition and non- solicitation, confidentiality and invention assignment provisions, Dr. Bonvini will be entitled to severance benefits if we terminate his employment without Cause or if he terminates employment with us for Good Reason, absent or in connection with a Change of Control.</w:t>
      </w:r>
    </w:p>
    <w:p>
      <w:pPr>
        <w:spacing w:after="0" w:line="210"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employment agreement for Dr. Bonvini contains substantially similar definitions of the terms “Cause,” “Change of Control” and “Good Reason” as those defined in Mr. Risser’s agreement, discussed above.</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table below summarizes the schedule of severance benefits Dr. Bonvini would receive in the event of a qualifying termination.</w:t>
      </w:r>
    </w:p>
    <w:p>
      <w:pPr>
        <w:sectPr>
          <w:pgSz w:w="11900" w:h="16838" w:orient="portrait"/>
          <w:cols w:equalWidth="0" w:num="1">
            <w:col w:w="11220"/>
          </w:cols>
          <w:pgMar w:left="320" w:top="155" w:right="359" w:bottom="28" w:gutter="0" w:footer="0" w:header="0"/>
          <w:type w:val="continuous"/>
        </w:sectPr>
      </w:pPr>
    </w:p>
    <w:p>
      <w:pPr>
        <w:spacing w:after="0" w:line="5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b w:val="1"/>
          <w:bCs w:val="1"/>
          <w:color w:val="auto"/>
        </w:rPr>
        <w:t>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5855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Absent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line="266" w:lineRule="auto"/>
        <w:rPr>
          <w:sz w:val="20"/>
          <w:szCs w:val="20"/>
          <w:color w:val="auto"/>
        </w:rPr>
      </w:pPr>
      <w:r>
        <w:rPr>
          <w:rFonts w:ascii="Times New Roman" w:cs="Times New Roman" w:eastAsia="Times New Roman" w:hAnsi="Times New Roman"/>
          <w:sz w:val="18"/>
          <w:szCs w:val="18"/>
          <w:color w:val="auto"/>
        </w:rPr>
        <w:t>Termination occurs within One Year Following a Change of Control</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Salary Continuation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173990</wp:posOffset>
            </wp:positionV>
            <wp:extent cx="17830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12 months of base salary plus a pro-rated target bonus (as in effect immediately prior to termination)</w:t>
      </w:r>
    </w:p>
    <w:p>
      <w:pPr>
        <w:spacing w:after="0" w:line="3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12 months of base salary plus target bonus (as in effect immediately prior to termination)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Continuation of</w:t>
      </w:r>
    </w:p>
    <w:p>
      <w:pPr>
        <w:spacing w:after="0" w:line="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Health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22860</wp:posOffset>
            </wp:positionV>
            <wp:extent cx="1739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739900" cy="8890"/>
                    </a:xfrm>
                    <a:prstGeom prst="rect">
                      <a:avLst/>
                    </a:prstGeom>
                    <a:noFill/>
                  </pic:spPr>
                </pic:pic>
              </a:graphicData>
            </a:graphic>
          </wp:anchor>
        </w:drawing>
      </w:r>
    </w:p>
    <w:p>
      <w:pPr>
        <w:spacing w:after="0" w:line="38" w:lineRule="exact"/>
        <w:rPr>
          <w:sz w:val="20"/>
          <w:szCs w:val="20"/>
          <w:color w:val="auto"/>
        </w:rPr>
      </w:pPr>
    </w:p>
    <w:p>
      <w:pPr>
        <w:ind w:firstLine="27"/>
        <w:spacing w:after="0" w:line="261" w:lineRule="auto"/>
        <w:rPr>
          <w:sz w:val="20"/>
          <w:szCs w:val="20"/>
          <w:color w:val="auto"/>
        </w:rPr>
      </w:pPr>
      <w:r>
        <w:rPr>
          <w:rFonts w:ascii="Times New Roman" w:cs="Times New Roman" w:eastAsia="Times New Roman" w:hAnsi="Times New Roman"/>
          <w:sz w:val="18"/>
          <w:szCs w:val="18"/>
          <w:color w:val="auto"/>
        </w:rPr>
        <w:t>12 months (or until Dr. Bonvini obtains other employment which provides the same type of benefit, if earlier)</w:t>
      </w:r>
    </w:p>
    <w:p>
      <w:pPr>
        <w:spacing w:after="0" w:line="1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12 months (or until Dr. Bonvini obtains other employment which provides the same type of benefit, if earlier)</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Acceleration of</w:t>
      </w:r>
    </w:p>
    <w:p>
      <w:pPr>
        <w:spacing w:after="0" w:line="3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Unvested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wp:posOffset>
            </wp:positionV>
            <wp:extent cx="17405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74053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100% of the shares with respect to which any equity awards are not vested</w:t>
      </w:r>
    </w:p>
    <w:p>
      <w:pPr>
        <w:spacing w:after="0" w:line="412" w:lineRule="exact"/>
        <w:rPr>
          <w:sz w:val="20"/>
          <w:szCs w:val="20"/>
          <w:color w:val="auto"/>
        </w:rPr>
      </w:pPr>
    </w:p>
    <w:p>
      <w:pPr>
        <w:sectPr>
          <w:pgSz w:w="11900" w:h="16838" w:orient="portrait"/>
          <w:cols w:equalWidth="0" w:num="4">
            <w:col w:w="2260" w:space="400"/>
            <w:col w:w="2660" w:space="220"/>
            <w:col w:w="2600" w:space="280"/>
            <w:col w:w="2800"/>
          </w:cols>
          <w:pgMar w:left="320" w:top="155" w:right="359" w:bottom="28" w:gutter="0" w:footer="0" w:header="0"/>
          <w:type w:val="continuous"/>
        </w:sectPr>
      </w:pPr>
    </w:p>
    <w:p>
      <w:pPr>
        <w:spacing w:after="0" w:line="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Mr. Karrels</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October 2013, we entered into an employment agreement with Mr. Karrels, as amended on January 1, 2025.</w:t>
      </w:r>
    </w:p>
    <w:p>
      <w:pPr>
        <w:spacing w:after="0" w:line="225" w:lineRule="exact"/>
        <w:rPr>
          <w:sz w:val="20"/>
          <w:szCs w:val="20"/>
          <w:color w:val="auto"/>
        </w:rPr>
      </w:pPr>
    </w:p>
    <w:p>
      <w:pPr>
        <w:ind w:right="140" w:firstLine="445"/>
        <w:spacing w:after="0" w:line="258" w:lineRule="auto"/>
        <w:rPr>
          <w:sz w:val="20"/>
          <w:szCs w:val="20"/>
          <w:color w:val="auto"/>
        </w:rPr>
      </w:pPr>
      <w:r>
        <w:rPr>
          <w:rFonts w:ascii="Times New Roman" w:cs="Times New Roman" w:eastAsia="Times New Roman" w:hAnsi="Times New Roman"/>
          <w:sz w:val="18"/>
          <w:szCs w:val="18"/>
          <w:color w:val="auto"/>
        </w:rPr>
        <w:t>Mr. Karrels’ employment agreement includes a non-competition provision that will prohibit him from competing with us for a period of 18 months following the end of his employment with us for any reason or for the period during which he is receiving severance benefits, as well as a non-solicitation provision that will prohibit him from soliciting our customers or employees, or hiring our employees for a period of two years following the end of his employment with us for any reason. Under his employment agreement, Mr. Karrels is also subject to confidentiality and invention disclosure and assignment obligations.</w:t>
      </w:r>
    </w:p>
    <w:p>
      <w:pPr>
        <w:spacing w:after="0" w:line="183" w:lineRule="exact"/>
        <w:rPr>
          <w:sz w:val="20"/>
          <w:szCs w:val="20"/>
          <w:color w:val="auto"/>
        </w:rPr>
      </w:pPr>
    </w:p>
    <w:p>
      <w:pPr>
        <w:ind w:right="80" w:firstLine="445"/>
        <w:spacing w:after="0" w:line="261" w:lineRule="auto"/>
        <w:rPr>
          <w:sz w:val="20"/>
          <w:szCs w:val="20"/>
          <w:color w:val="auto"/>
        </w:rPr>
      </w:pPr>
      <w:r>
        <w:rPr>
          <w:rFonts w:ascii="Times New Roman" w:cs="Times New Roman" w:eastAsia="Times New Roman" w:hAnsi="Times New Roman"/>
          <w:sz w:val="18"/>
          <w:szCs w:val="18"/>
          <w:color w:val="auto"/>
        </w:rPr>
        <w:t>Mr. Karrels is eligible to receive severance benefits in specified circumstances. Under the terms of the agreement, upon execution and delivery of an irrevocable release of claims against the Company and subject to his continued compliance with the non-competition and non-solicitation, confidentiality and invention assignment provisions, Mr. Karrels will be entitled to severance benefits if we terminate his employment without Cause or if he terminates employment with us for Good Reason, absent or in connection with a Change of Control.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schedule of severance benefits Mr. Karrels would receive in the event of such a qualifying termination.</w:t>
      </w:r>
    </w:p>
    <w:p>
      <w:pPr>
        <w:spacing w:after="0" w:line="27"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Mr. Karrels’ employment agreement contains substantially similar definitions of the terms “Cause,” “Change of Control,” and “Good Reason” as those defined in Mr. Risser’s agreement, discussed above.</w:t>
      </w:r>
    </w:p>
    <w:p>
      <w:pPr>
        <w:sectPr>
          <w:pgSz w:w="11900" w:h="16838" w:orient="portrait"/>
          <w:cols w:equalWidth="0" w:num="1">
            <w:col w:w="11220"/>
          </w:cols>
          <w:pgMar w:left="320" w:top="155" w:right="359" w:bottom="28" w:gutter="0" w:footer="0" w:header="0"/>
          <w:type w:val="continuous"/>
        </w:sectPr>
      </w:pPr>
    </w:p>
    <w:p>
      <w:pPr>
        <w:spacing w:after="0" w:line="200" w:lineRule="exact"/>
        <w:rPr>
          <w:sz w:val="20"/>
          <w:szCs w:val="20"/>
          <w:color w:val="auto"/>
        </w:rPr>
      </w:pPr>
    </w:p>
    <w:p>
      <w:pPr>
        <w:spacing w:after="0" w:line="39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Scenario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33655</wp:posOffset>
            </wp:positionV>
            <wp:extent cx="158559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4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Absent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0"/>
        <w:spacing w:after="0" w:line="226" w:lineRule="auto"/>
        <w:rPr>
          <w:sz w:val="20"/>
          <w:szCs w:val="20"/>
          <w:color w:val="auto"/>
        </w:rPr>
      </w:pPr>
      <w:r>
        <w:rPr>
          <w:rFonts w:ascii="Times New Roman" w:cs="Times New Roman" w:eastAsia="Times New Roman" w:hAnsi="Times New Roman"/>
          <w:sz w:val="18"/>
          <w:szCs w:val="18"/>
          <w:color w:val="auto"/>
        </w:rPr>
        <w:t>Termination occurs within Two Years Following a Change of Control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Salary Continuation</w:t>
            </w:r>
          </w:p>
        </w:tc>
        <w:tc>
          <w:tcPr>
            <w:tcW w:w="2900" w:type="dxa"/>
            <w:vAlign w:val="bottom"/>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Continuation of</w:t>
            </w:r>
          </w:p>
        </w:tc>
        <w:tc>
          <w:tcPr>
            <w:tcW w:w="2760" w:type="dxa"/>
            <w:vAlign w:val="bottom"/>
          </w:tcPr>
          <w:p>
            <w:pPr>
              <w:ind w:left="920"/>
              <w:spacing w:after="0"/>
              <w:rPr>
                <w:sz w:val="20"/>
                <w:szCs w:val="20"/>
                <w:color w:val="auto"/>
              </w:rPr>
            </w:pPr>
            <w:r>
              <w:rPr>
                <w:rFonts w:ascii="Times New Roman" w:cs="Times New Roman" w:eastAsia="Times New Roman" w:hAnsi="Times New Roman"/>
                <w:sz w:val="14"/>
                <w:szCs w:val="14"/>
                <w:b w:val="1"/>
                <w:bCs w:val="1"/>
                <w:color w:val="auto"/>
              </w:rPr>
              <w:t>Acceleration of</w:t>
            </w:r>
          </w:p>
        </w:tc>
        <w:tc>
          <w:tcPr>
            <w:tcW w:w="0" w:type="dxa"/>
            <w:vAlign w:val="bottom"/>
          </w:tcPr>
          <w:p>
            <w:pPr>
              <w:spacing w:after="0"/>
              <w:rPr>
                <w:sz w:val="1"/>
                <w:szCs w:val="1"/>
                <w:color w:val="auto"/>
              </w:rPr>
            </w:pPr>
          </w:p>
        </w:tc>
      </w:tr>
      <w:tr>
        <w:trPr>
          <w:trHeight w:val="196"/>
        </w:trPr>
        <w:tc>
          <w:tcPr>
            <w:tcW w:w="2860" w:type="dxa"/>
            <w:vAlign w:val="bottom"/>
            <w:gridSpan w:val="2"/>
            <w:vMerge w:val="continue"/>
          </w:tcPr>
          <w:p>
            <w:pPr>
              <w:spacing w:after="0"/>
              <w:rPr>
                <w:sz w:val="17"/>
                <w:szCs w:val="17"/>
                <w:color w:val="auto"/>
              </w:rPr>
            </w:pPr>
          </w:p>
        </w:tc>
        <w:tc>
          <w:tcPr>
            <w:tcW w:w="2900" w:type="dxa"/>
            <w:vAlign w:val="bottom"/>
            <w:gridSpan w:val="2"/>
          </w:tcPr>
          <w:p>
            <w:pPr>
              <w:ind w:left="920"/>
              <w:spacing w:after="0"/>
              <w:rPr>
                <w:sz w:val="20"/>
                <w:szCs w:val="20"/>
                <w:color w:val="auto"/>
              </w:rPr>
            </w:pPr>
            <w:r>
              <w:rPr>
                <w:rFonts w:ascii="Times New Roman" w:cs="Times New Roman" w:eastAsia="Times New Roman" w:hAnsi="Times New Roman"/>
                <w:sz w:val="14"/>
                <w:szCs w:val="14"/>
                <w:b w:val="1"/>
                <w:bCs w:val="1"/>
                <w:color w:val="auto"/>
              </w:rPr>
              <w:t>Health Benefits</w:t>
            </w:r>
          </w:p>
        </w:tc>
        <w:tc>
          <w:tcPr>
            <w:tcW w:w="2760" w:type="dxa"/>
            <w:vAlign w:val="bottom"/>
          </w:tcPr>
          <w:p>
            <w:pPr>
              <w:ind w:left="860"/>
              <w:spacing w:after="0"/>
              <w:rPr>
                <w:sz w:val="20"/>
                <w:szCs w:val="20"/>
                <w:color w:val="auto"/>
              </w:rPr>
            </w:pPr>
            <w:r>
              <w:rPr>
                <w:rFonts w:ascii="Times New Roman" w:cs="Times New Roman" w:eastAsia="Times New Roman" w:hAnsi="Times New Roman"/>
                <w:sz w:val="14"/>
                <w:szCs w:val="14"/>
                <w:b w:val="1"/>
                <w:bCs w:val="1"/>
                <w:color w:val="auto"/>
              </w:rPr>
              <w:t>Unvested Equity</w:t>
            </w:r>
          </w:p>
        </w:tc>
        <w:tc>
          <w:tcPr>
            <w:tcW w:w="0" w:type="dxa"/>
            <w:vAlign w:val="bottom"/>
          </w:tcPr>
          <w:p>
            <w:pPr>
              <w:spacing w:after="0"/>
              <w:rPr>
                <w:sz w:val="1"/>
                <w:szCs w:val="1"/>
                <w:color w:val="auto"/>
              </w:rPr>
            </w:pPr>
          </w:p>
        </w:tc>
      </w:tr>
      <w:tr>
        <w:trPr>
          <w:trHeight w:val="175"/>
        </w:trPr>
        <w:tc>
          <w:tcPr>
            <w:tcW w:w="2740" w:type="dxa"/>
            <w:vAlign w:val="bottom"/>
            <w:tcBorders>
              <w:top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12 months of base salary</w:t>
            </w:r>
          </w:p>
        </w:tc>
        <w:tc>
          <w:tcPr>
            <w:tcW w:w="120" w:type="dxa"/>
            <w:vAlign w:val="bottom"/>
          </w:tcPr>
          <w:p>
            <w:pPr>
              <w:spacing w:after="0"/>
              <w:rPr>
                <w:sz w:val="15"/>
                <w:szCs w:val="15"/>
                <w:color w:val="auto"/>
              </w:rPr>
            </w:pPr>
          </w:p>
        </w:tc>
        <w:tc>
          <w:tcPr>
            <w:tcW w:w="2760" w:type="dxa"/>
            <w:vAlign w:val="bottom"/>
            <w:tcBorders>
              <w:top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12 months</w:t>
            </w:r>
          </w:p>
        </w:tc>
        <w:tc>
          <w:tcPr>
            <w:tcW w:w="140" w:type="dxa"/>
            <w:vAlign w:val="bottom"/>
          </w:tcPr>
          <w:p>
            <w:pPr>
              <w:spacing w:after="0"/>
              <w:rPr>
                <w:sz w:val="15"/>
                <w:szCs w:val="15"/>
                <w:color w:val="auto"/>
              </w:rPr>
            </w:pPr>
          </w:p>
        </w:tc>
        <w:tc>
          <w:tcPr>
            <w:tcW w:w="2760" w:type="dxa"/>
            <w:vAlign w:val="bottom"/>
            <w:tcBorders>
              <w:top w:val="single" w:sz="8" w:color="auto"/>
            </w:tcBorders>
          </w:tcPr>
          <w:p>
            <w:pPr>
              <w:ind w:left="140"/>
              <w:spacing w:after="0" w:line="176" w:lineRule="exact"/>
              <w:rPr>
                <w:sz w:val="20"/>
                <w:szCs w:val="20"/>
                <w:color w:val="auto"/>
              </w:rPr>
            </w:pPr>
            <w:r>
              <w:rPr>
                <w:rFonts w:ascii="Times New Roman" w:cs="Times New Roman" w:eastAsia="Times New Roman" w:hAnsi="Times New Roman"/>
                <w:sz w:val="18"/>
                <w:szCs w:val="18"/>
                <w:color w:val="auto"/>
              </w:rPr>
              <w:t>50% of the shares with respect to</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(or until Mr. Karrels obtains other</w:t>
            </w:r>
          </w:p>
        </w:tc>
        <w:tc>
          <w:tcPr>
            <w:tcW w:w="27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which any equity awards are not</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which</w:t>
            </w:r>
          </w:p>
        </w:tc>
        <w:tc>
          <w:tcPr>
            <w:tcW w:w="27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provides the same</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type of benefit, if earlier)</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28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 months of base salary and target</w:t>
            </w: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12 months</w:t>
            </w:r>
          </w:p>
        </w:tc>
        <w:tc>
          <w:tcPr>
            <w:tcW w:w="2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100% of the shares with respect to</w:t>
            </w:r>
          </w:p>
        </w:tc>
        <w:tc>
          <w:tcPr>
            <w:tcW w:w="0" w:type="dxa"/>
            <w:vAlign w:val="bottom"/>
          </w:tcPr>
          <w:p>
            <w:pPr>
              <w:spacing w:after="0"/>
              <w:rPr>
                <w:sz w:val="1"/>
                <w:szCs w:val="1"/>
                <w:color w:val="auto"/>
              </w:rPr>
            </w:pPr>
          </w:p>
        </w:tc>
      </w:tr>
      <w:tr>
        <w:trPr>
          <w:trHeight w:val="175"/>
        </w:trPr>
        <w:tc>
          <w:tcPr>
            <w:tcW w:w="28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bonus (as in effect immediately</w:t>
            </w:r>
          </w:p>
        </w:tc>
        <w:tc>
          <w:tcPr>
            <w:tcW w:w="29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(or until Mr. Karrels obtains other</w:t>
            </w:r>
          </w:p>
        </w:tc>
        <w:tc>
          <w:tcPr>
            <w:tcW w:w="27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which any equity awards are not</w:t>
            </w:r>
          </w:p>
        </w:tc>
        <w:tc>
          <w:tcPr>
            <w:tcW w:w="0" w:type="dxa"/>
            <w:vAlign w:val="bottom"/>
          </w:tcPr>
          <w:p>
            <w:pPr>
              <w:spacing w:after="0"/>
              <w:rPr>
                <w:sz w:val="1"/>
                <w:szCs w:val="1"/>
                <w:color w:val="auto"/>
              </w:rPr>
            </w:pPr>
          </w:p>
        </w:tc>
      </w:tr>
      <w:tr>
        <w:trPr>
          <w:trHeight w:val="175"/>
        </w:trPr>
        <w:tc>
          <w:tcPr>
            <w:tcW w:w="286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prior to termination)</w:t>
            </w:r>
          </w:p>
        </w:tc>
        <w:tc>
          <w:tcPr>
            <w:tcW w:w="29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employment which</w:t>
            </w:r>
          </w:p>
        </w:tc>
        <w:tc>
          <w:tcPr>
            <w:tcW w:w="27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vested</w:t>
            </w: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provides the same</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type of benefit, if earlier)</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2">
            <w:col w:w="2340" w:space="360"/>
            <w:col w:w="8520"/>
          </w:cols>
          <w:pgMar w:left="320" w:top="155" w:right="359" w:bottom="28" w:gutter="0" w:footer="0" w:header="0"/>
          <w:type w:val="continuous"/>
        </w:sectPr>
      </w:pPr>
    </w:p>
    <w:bookmarkStart w:id="47" w:name="page48"/>
    <w:bookmarkEnd w:id="47"/>
    <w:p>
      <w:pPr>
        <w:ind w:right="120" w:firstLine="405"/>
        <w:spacing w:after="0" w:line="266" w:lineRule="auto"/>
        <w:rPr>
          <w:sz w:val="20"/>
          <w:szCs w:val="20"/>
          <w:color w:val="auto"/>
        </w:rPr>
      </w:pPr>
      <w:r>
        <w:rPr>
          <w:rFonts w:ascii="Times New Roman" w:cs="Times New Roman" w:eastAsia="Times New Roman" w:hAnsi="Times New Roman"/>
          <w:sz w:val="18"/>
          <w:szCs w:val="18"/>
          <w:color w:val="auto"/>
        </w:rPr>
        <w:t>The tables below provide information with respect to potential payments and benefits to which our named executive officers would be entitled under the arrangements set forth in their respective employment agreement, as described above assuming their employment was terminated without cause, effective as of December 31, 2025, (i) absent a change in control and (ii) in connection with a change in control as of the same date.</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Absent a change in control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Cash Payment ($) (1)</w:t>
            </w:r>
          </w:p>
        </w:tc>
        <w:tc>
          <w:tcPr>
            <w:tcW w:w="2140" w:type="dxa"/>
            <w:vAlign w:val="bottom"/>
            <w:tcBorders>
              <w:top w:val="single" w:sz="8" w:color="auto"/>
            </w:tcBorders>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rPr>
              <w:t>Health Benefit</w:t>
            </w:r>
          </w:p>
        </w:tc>
        <w:tc>
          <w:tcPr>
            <w:tcW w:w="2140" w:type="dxa"/>
            <w:vAlign w:val="bottom"/>
            <w:tcBorders>
              <w:top w:val="single" w:sz="8" w:color="auto"/>
            </w:tcBorders>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Acceleration of Unvested</w:t>
            </w:r>
          </w:p>
        </w:tc>
        <w:tc>
          <w:tcPr>
            <w:tcW w:w="198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43"/>
        </w:trPr>
        <w:tc>
          <w:tcPr>
            <w:tcW w:w="2860" w:type="dxa"/>
            <w:vAlign w:val="bottom"/>
            <w:vMerge w:val="continue"/>
          </w:tcPr>
          <w:p>
            <w:pPr>
              <w:spacing w:after="0"/>
              <w:rPr>
                <w:sz w:val="21"/>
                <w:szCs w:val="21"/>
                <w:color w:val="auto"/>
              </w:rPr>
            </w:pPr>
          </w:p>
        </w:tc>
        <w:tc>
          <w:tcPr>
            <w:tcW w:w="2120" w:type="dxa"/>
            <w:vAlign w:val="bottom"/>
            <w:gridSpan w:val="2"/>
            <w:vMerge w:val="continue"/>
          </w:tcPr>
          <w:p>
            <w:pPr>
              <w:spacing w:after="0"/>
              <w:rPr>
                <w:sz w:val="21"/>
                <w:szCs w:val="21"/>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Continuation ($)</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Equity ($) (2)</w:t>
            </w: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42,538</w:t>
            </w:r>
          </w:p>
        </w:tc>
        <w:tc>
          <w:tcPr>
            <w:tcW w:w="1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1,042,538</w:t>
            </w: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Koenig, M.D., Ph.D.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2,362,880</w:t>
            </w: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1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42,527</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2,462,124</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535,640</w:t>
            </w: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14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563,999</w:t>
            </w: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508,830</w:t>
            </w:r>
          </w:p>
        </w:tc>
        <w:tc>
          <w:tcPr>
            <w:tcW w:w="140" w:type="dxa"/>
            <w:vAlign w:val="bottom"/>
          </w:tcPr>
          <w:p>
            <w:pPr>
              <w:spacing w:after="0"/>
              <w:rPr>
                <w:sz w:val="20"/>
                <w:szCs w:val="20"/>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43,468</w:t>
            </w:r>
          </w:p>
        </w:tc>
        <w:tc>
          <w:tcPr>
            <w:tcW w:w="1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552,298</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connection with a change in control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8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12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Cash Payment ($) (1)</w:t>
            </w:r>
          </w:p>
        </w:tc>
        <w:tc>
          <w:tcPr>
            <w:tcW w:w="2140" w:type="dxa"/>
            <w:vAlign w:val="bottom"/>
            <w:tcBorders>
              <w:top w:val="single" w:sz="8" w:color="auto"/>
            </w:tcBorders>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rPr>
              <w:t>Health Benefit</w:t>
            </w:r>
          </w:p>
        </w:tc>
        <w:tc>
          <w:tcPr>
            <w:tcW w:w="2140" w:type="dxa"/>
            <w:vAlign w:val="bottom"/>
            <w:tcBorders>
              <w:top w:val="single" w:sz="8" w:color="auto"/>
            </w:tcBorders>
            <w:gridSpan w:val="2"/>
          </w:tcPr>
          <w:p>
            <w:pPr>
              <w:jc w:val="center"/>
              <w:ind w:right="1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Acceleration of Unvested</w:t>
            </w:r>
          </w:p>
        </w:tc>
        <w:tc>
          <w:tcPr>
            <w:tcW w:w="1980" w:type="dxa"/>
            <w:vAlign w:val="bottom"/>
            <w:tcBorders>
              <w:top w:val="single" w:sz="8" w:color="auto"/>
            </w:tcBorders>
            <w:vMerge w:val="restart"/>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Total ($)</w:t>
            </w:r>
          </w:p>
        </w:tc>
        <w:tc>
          <w:tcPr>
            <w:tcW w:w="0" w:type="dxa"/>
            <w:vAlign w:val="bottom"/>
          </w:tcPr>
          <w:p>
            <w:pPr>
              <w:spacing w:after="0"/>
              <w:rPr>
                <w:sz w:val="1"/>
                <w:szCs w:val="1"/>
                <w:color w:val="auto"/>
              </w:rPr>
            </w:pPr>
          </w:p>
        </w:tc>
      </w:tr>
      <w:tr>
        <w:trPr>
          <w:trHeight w:val="243"/>
        </w:trPr>
        <w:tc>
          <w:tcPr>
            <w:tcW w:w="2860" w:type="dxa"/>
            <w:vAlign w:val="bottom"/>
            <w:vMerge w:val="continue"/>
          </w:tcPr>
          <w:p>
            <w:pPr>
              <w:spacing w:after="0"/>
              <w:rPr>
                <w:sz w:val="21"/>
                <w:szCs w:val="21"/>
                <w:color w:val="auto"/>
              </w:rPr>
            </w:pPr>
          </w:p>
        </w:tc>
        <w:tc>
          <w:tcPr>
            <w:tcW w:w="2120" w:type="dxa"/>
            <w:vAlign w:val="bottom"/>
            <w:gridSpan w:val="2"/>
            <w:vMerge w:val="continue"/>
          </w:tcPr>
          <w:p>
            <w:pPr>
              <w:spacing w:after="0"/>
              <w:rPr>
                <w:sz w:val="21"/>
                <w:szCs w:val="21"/>
                <w:color w:val="auto"/>
              </w:rPr>
            </w:pP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Continuation ($)</w:t>
            </w:r>
          </w:p>
        </w:tc>
        <w:tc>
          <w:tcPr>
            <w:tcW w:w="21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Equity ($) (2)</w:t>
            </w:r>
          </w:p>
        </w:tc>
        <w:tc>
          <w:tcPr>
            <w:tcW w:w="1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Eric Risser</w:t>
            </w: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4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14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94,985</w:t>
            </w:r>
          </w:p>
        </w:tc>
        <w:tc>
          <w:tcPr>
            <w:tcW w:w="16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1,623,344</w:t>
            </w:r>
          </w:p>
        </w:tc>
        <w:tc>
          <w:tcPr>
            <w:tcW w:w="0" w:type="dxa"/>
            <w:vAlign w:val="bottom"/>
          </w:tcPr>
          <w:p>
            <w:pPr>
              <w:spacing w:after="0"/>
              <w:rPr>
                <w:sz w:val="1"/>
                <w:szCs w:val="1"/>
                <w:color w:val="auto"/>
              </w:rPr>
            </w:pPr>
          </w:p>
        </w:tc>
      </w:tr>
      <w:tr>
        <w:trPr>
          <w:trHeight w:val="230"/>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Scott Koenig, M.D., Ph.D.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2,362,880</w:t>
            </w:r>
          </w:p>
        </w:tc>
        <w:tc>
          <w:tcPr>
            <w:tcW w:w="1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1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85,053</w:t>
            </w:r>
          </w:p>
        </w:tc>
        <w:tc>
          <w:tcPr>
            <w:tcW w:w="16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2,504,651</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Ezio Bonvini</w:t>
            </w: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535,640</w:t>
            </w:r>
          </w:p>
        </w:tc>
        <w:tc>
          <w:tcPr>
            <w:tcW w:w="1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28,359</w:t>
            </w:r>
          </w:p>
        </w:tc>
        <w:tc>
          <w:tcPr>
            <w:tcW w:w="1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96,595</w:t>
            </w:r>
          </w:p>
        </w:tc>
        <w:tc>
          <w:tcPr>
            <w:tcW w:w="16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660,594</w:t>
            </w:r>
          </w:p>
        </w:tc>
        <w:tc>
          <w:tcPr>
            <w:tcW w:w="0" w:type="dxa"/>
            <w:vAlign w:val="bottom"/>
          </w:tcPr>
          <w:p>
            <w:pPr>
              <w:spacing w:after="0"/>
              <w:rPr>
                <w:sz w:val="1"/>
                <w:szCs w:val="1"/>
                <w:color w:val="auto"/>
              </w:rPr>
            </w:pPr>
          </w:p>
        </w:tc>
      </w:tr>
      <w:tr>
        <w:trPr>
          <w:trHeight w:val="234"/>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Karrels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712,363</w:t>
            </w:r>
          </w:p>
        </w:tc>
        <w:tc>
          <w:tcPr>
            <w:tcW w:w="140" w:type="dxa"/>
            <w:vAlign w:val="bottom"/>
          </w:tcPr>
          <w:p>
            <w:pPr>
              <w:spacing w:after="0"/>
              <w:rPr>
                <w:sz w:val="20"/>
                <w:szCs w:val="20"/>
                <w:color w:val="auto"/>
              </w:rPr>
            </w:pPr>
          </w:p>
        </w:tc>
        <w:tc>
          <w:tcPr>
            <w:tcW w:w="2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86,935</w:t>
            </w:r>
          </w:p>
        </w:tc>
        <w:tc>
          <w:tcPr>
            <w:tcW w:w="16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799,298</w:t>
            </w:r>
          </w:p>
        </w:tc>
        <w:tc>
          <w:tcPr>
            <w:tcW w:w="0" w:type="dxa"/>
            <w:vAlign w:val="bottom"/>
          </w:tcPr>
          <w:p>
            <w:pPr>
              <w:spacing w:after="0"/>
              <w:rPr>
                <w:sz w:val="1"/>
                <w:szCs w:val="1"/>
                <w:color w:val="auto"/>
              </w:rPr>
            </w:pPr>
          </w:p>
        </w:tc>
      </w:tr>
    </w:tbl>
    <w:p>
      <w:pPr>
        <w:spacing w:after="0" w:line="274" w:lineRule="exact"/>
        <w:rPr>
          <w:sz w:val="20"/>
          <w:szCs w:val="20"/>
          <w:color w:val="auto"/>
        </w:rPr>
      </w:pPr>
    </w:p>
    <w:p>
      <w:pPr>
        <w:ind w:left="260" w:hanging="252"/>
        <w:spacing w:after="0"/>
        <w:tabs>
          <w:tab w:leader="none" w:pos="2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salary continuation and bonus, if applicable, under the terms of the named executive officer's employment agreement.</w:t>
      </w:r>
    </w:p>
    <w:p>
      <w:pPr>
        <w:spacing w:after="0" w:line="117" w:lineRule="exact"/>
        <w:rPr>
          <w:rFonts w:ascii="Times New Roman" w:cs="Times New Roman" w:eastAsia="Times New Roman" w:hAnsi="Times New Roman"/>
          <w:sz w:val="18"/>
          <w:szCs w:val="18"/>
          <w:color w:val="auto"/>
        </w:rPr>
      </w:pPr>
    </w:p>
    <w:p>
      <w:pPr>
        <w:ind w:left="340" w:right="260" w:hanging="332"/>
        <w:spacing w:after="0" w:line="261" w:lineRule="auto"/>
        <w:tabs>
          <w:tab w:leader="none" w:pos="27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accelerated vesting for stock option awards is equal to the closing share price of our common stock of $1.61 per share on December 31, 2025, as reported on Nasdaq, less the stock option exercise price, multiplied by the number of unvested options subject to accelerated vesting. "Unvested Equity" refers to stock options and RSU awards granted to our named executive officers pursuant to the arrangements set forth in their respective employment agreements.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 Agreement with Dr. Koenig</w:t>
      </w:r>
    </w:p>
    <w:p>
      <w:pPr>
        <w:spacing w:after="0" w:line="252"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Separation Agreement reflects the previously agreed separation payments and benefits in the case of a separation without cause in accordance with the terms of Dr. Koenig’s employment agreement. In particular, the Separation Agreement provides the following separation payments and benefits to Dr. Koenig: (i) salary continuation payments, in an aggregate amount equal to his annualized base salary and target bonus amount (totaling $2,362,880), each as in effect immediately prior to the Separation Date, payable on the Company’s payroll schedule, commencing on the first payroll run occurring on or after the Separation Date, and continuing for 24 months thereafter, less all applicable taxes and withholdings; (ii) payment on Dr. Koenig’s behalf of the portion of the premiums that the Company had previously paid on his behalf as of the Separation Date for group medical, dental and vision insurance coverage under COBRA until the earlier of 24 months following the Separation Date or the date on which Dr. Koenig becomes eligible to receive equivalent coverage through another employer; and (iii) the accelerated vesting of 50% of the unvested stock option awards and restricted stock unit awards granted to Dr. Koenig during his employment outstanding as of the Separation Date. As described above, the Separation Agreement supersedes all severance benefits contained in Dr. Koenig’s 2013 employment agreement.</w:t>
      </w:r>
    </w:p>
    <w:p>
      <w:pPr>
        <w:spacing w:after="0" w:line="221"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Further, under the Separation Agreement, the Company has agreed to engage Dr. Koenig as an advisor, effective on the Separation Date and continuing until the fifth anniversary of the Separation Date, in exchange for the continued vesting of the remainder of his unvested stock option awards and restricted stock unit awards granted to Dr. Koenig during his employment outstanding as of the Separation Date. In light of Dr. Koenig’s continued services during the process to identify the next Chief Executive Officer of the Company in 2025, the amendment provided that Dr. Koenig would receive a</w:t>
      </w:r>
    </w:p>
    <w:p>
      <w:pPr>
        <w:spacing w:after="0" w:line="2" w:lineRule="exact"/>
        <w:rPr>
          <w:sz w:val="20"/>
          <w:szCs w:val="20"/>
          <w:color w:val="auto"/>
        </w:rPr>
      </w:pPr>
    </w:p>
    <w:p>
      <w:pPr>
        <w:ind w:right="20"/>
        <w:spacing w:after="0" w:line="297" w:lineRule="auto"/>
        <w:rPr>
          <w:sz w:val="20"/>
          <w:szCs w:val="20"/>
          <w:color w:val="auto"/>
        </w:rPr>
      </w:pPr>
      <w:r>
        <w:rPr>
          <w:rFonts w:ascii="Times New Roman" w:cs="Times New Roman" w:eastAsia="Times New Roman" w:hAnsi="Times New Roman"/>
          <w:sz w:val="18"/>
          <w:szCs w:val="18"/>
          <w:color w:val="auto"/>
        </w:rPr>
        <w:t>prorated target 2025 annual bonus, to be received in the first payroll run occurring on or after the Separation Date, which is reflected above in “—Summary Compensation Table—Non-Equity Incentive Plan Compensation.”</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175"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 xml:space="preserve">The disclosure included in this section is prescribed by SEC rules and does not necessarily align with how the Company or the Human Capital Management Committee view the link between the Company’s performance and named executive officer pay. </w:t>
      </w:r>
      <w:r>
        <w:rPr>
          <w:rFonts w:ascii="Times New Roman" w:cs="Times New Roman" w:eastAsia="Times New Roman" w:hAnsi="Times New Roman"/>
          <w:sz w:val="18"/>
          <w:szCs w:val="18"/>
          <w:color w:val="231F20"/>
        </w:rPr>
        <w:t>This disclosure is intended to comply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the requirements of Item 402(v) of Regulation S-K applicable to “smaller reporting companies.” </w:t>
      </w:r>
      <w:r>
        <w:rPr>
          <w:rFonts w:ascii="Times New Roman" w:cs="Times New Roman" w:eastAsia="Times New Roman" w:hAnsi="Times New Roman"/>
          <w:sz w:val="18"/>
          <w:szCs w:val="18"/>
          <w:color w:val="000000"/>
        </w:rPr>
        <w:t>For additional information about our pay for performance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compensation philosophy and how we seek to align executive compensation with the Company’s performance, refer to “Executive Compensation Information” beginning on page 32.</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Tabular Disclosure of Pay Versus Performance</w:t>
      </w:r>
    </w:p>
    <w:p>
      <w:pPr>
        <w:spacing w:after="0" w:line="256"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the following information about the relationship between executive compensation actually paid and certain financial performance of the Company. The following table sets forth information concerning Compensation Actually Paid (“CAP”) to our Principal Executive Officer (“PEO”) and our non-PEO named executive officers (“Non-PEO NEOs”) versus our total shareholder return (“TSR”) and net income (loss) performance results for the fiscal years ended December 31, 2025, 2024, and 2023. The amounts set forth below under the headings “Compensation Actually Paid to PEO” and “Average Compensation Actually Paid to Non-PEO NEOs” have been calculated in a manner consistent with Item 402(v) of Regulation S-K. Use of the term CAP is required by the SEC’s rules and as a result of the calculation methodology required by the SEC, such amounts differ from compensation actually received by the individuals and the compensation decisions described in the “Executive Compensation Information” section above.</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Value of Initial</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Summary</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4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Fixed $100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400" w:type="dxa"/>
            <w:vAlign w:val="bottom"/>
            <w:gridSpan w:val="2"/>
            <w:vMerge w:val="continue"/>
          </w:tcPr>
          <w:p>
            <w:pPr>
              <w:spacing w:after="0"/>
              <w:rPr>
                <w:sz w:val="14"/>
                <w:szCs w:val="14"/>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Summary</w:t>
            </w:r>
          </w:p>
        </w:tc>
        <w:tc>
          <w:tcPr>
            <w:tcW w:w="1200" w:type="dxa"/>
            <w:vAlign w:val="bottom"/>
            <w:gridSpan w:val="2"/>
            <w:vMerge w:val="continue"/>
          </w:tcPr>
          <w:p>
            <w:pPr>
              <w:spacing w:after="0"/>
              <w:rPr>
                <w:sz w:val="14"/>
                <w:szCs w:val="14"/>
                <w:color w:val="auto"/>
              </w:rPr>
            </w:pPr>
          </w:p>
        </w:tc>
        <w:tc>
          <w:tcPr>
            <w:tcW w:w="14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Investment Based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380" w:type="dxa"/>
            <w:vAlign w:val="bottom"/>
            <w:gridSpan w:val="2"/>
            <w:vMerge w:val="continue"/>
          </w:tcPr>
          <w:p>
            <w:pPr>
              <w:spacing w:after="0"/>
              <w:rPr>
                <w:sz w:val="14"/>
                <w:szCs w:val="14"/>
                <w:color w:val="auto"/>
              </w:rPr>
            </w:pPr>
          </w:p>
        </w:tc>
        <w:tc>
          <w:tcPr>
            <w:tcW w:w="14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20" w:type="dxa"/>
            <w:vAlign w:val="bottom"/>
            <w:gridSpan w:val="2"/>
            <w:vMerge w:val="continue"/>
          </w:tcPr>
          <w:p>
            <w:pPr>
              <w:spacing w:after="0"/>
              <w:rPr>
                <w:sz w:val="14"/>
                <w:szCs w:val="14"/>
                <w:color w:val="auto"/>
              </w:rPr>
            </w:pP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14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7"/>
              </w:rPr>
              <w:t>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0" w:type="dxa"/>
            <w:vAlign w:val="bottom"/>
          </w:tcPr>
          <w:p>
            <w:pPr>
              <w:spacing w:after="0"/>
              <w:rPr>
                <w:sz w:val="1"/>
                <w:szCs w:val="1"/>
                <w:color w:val="auto"/>
              </w:rPr>
            </w:pPr>
          </w:p>
        </w:tc>
      </w:tr>
      <w:tr>
        <w:trPr>
          <w:trHeight w:val="162"/>
        </w:trPr>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13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Actually Paid to</w:t>
            </w:r>
          </w:p>
        </w:tc>
        <w:tc>
          <w:tcPr>
            <w:tcW w:w="14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Table Total for</w:t>
            </w:r>
          </w:p>
        </w:tc>
        <w:tc>
          <w:tcPr>
            <w:tcW w:w="12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Table Total for</w:t>
            </w:r>
          </w:p>
        </w:tc>
        <w:tc>
          <w:tcPr>
            <w:tcW w:w="1200" w:type="dxa"/>
            <w:vAlign w:val="bottom"/>
            <w:gridSpan w:val="2"/>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Actually Paid</w:t>
            </w:r>
          </w:p>
        </w:tc>
        <w:tc>
          <w:tcPr>
            <w:tcW w:w="14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Total Shareholder</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Year</w:t>
            </w:r>
          </w:p>
        </w:tc>
        <w:tc>
          <w:tcPr>
            <w:tcW w:w="13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Current PEO ($)</w:t>
            </w:r>
          </w:p>
        </w:tc>
        <w:tc>
          <w:tcPr>
            <w:tcW w:w="138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Current PEO ($)</w:t>
            </w:r>
          </w:p>
        </w:tc>
        <w:tc>
          <w:tcPr>
            <w:tcW w:w="14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w w:val="99"/>
              </w:rPr>
              <w:t>Former PEO ($)</w:t>
            </w:r>
          </w:p>
        </w:tc>
        <w:tc>
          <w:tcPr>
            <w:tcW w:w="12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to former PEO</w:t>
            </w:r>
          </w:p>
        </w:tc>
        <w:tc>
          <w:tcPr>
            <w:tcW w:w="120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w w:val="98"/>
              </w:rPr>
              <w:t>Non-PEO</w:t>
            </w: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to non-PEO</w:t>
            </w:r>
          </w:p>
        </w:tc>
        <w:tc>
          <w:tcPr>
            <w:tcW w:w="142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6"/>
                <w:szCs w:val="16"/>
                <w:b w:val="1"/>
                <w:bCs w:val="1"/>
                <w:color w:val="auto"/>
              </w:rPr>
              <w:t>Return (TSR) ($)</w:t>
            </w: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(Loss) (5)</w:t>
            </w:r>
          </w:p>
        </w:tc>
        <w:tc>
          <w:tcPr>
            <w:tcW w:w="0" w:type="dxa"/>
            <w:vAlign w:val="bottom"/>
          </w:tcPr>
          <w:p>
            <w:pPr>
              <w:spacing w:after="0"/>
              <w:rPr>
                <w:sz w:val="1"/>
                <w:szCs w:val="1"/>
                <w:color w:val="auto"/>
              </w:rPr>
            </w:pPr>
          </w:p>
        </w:tc>
      </w:tr>
      <w:tr>
        <w:trPr>
          <w:trHeight w:val="214"/>
        </w:trPr>
        <w:tc>
          <w:tcPr>
            <w:tcW w:w="900" w:type="dxa"/>
            <w:vAlign w:val="bottom"/>
            <w:gridSpan w:val="2"/>
            <w:vMerge w:val="continue"/>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(1)</w:t>
            </w:r>
          </w:p>
        </w:tc>
        <w:tc>
          <w:tcPr>
            <w:tcW w:w="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(3)</w:t>
            </w:r>
          </w:p>
        </w:tc>
        <w:tc>
          <w:tcPr>
            <w:tcW w:w="8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(3)</w:t>
            </w:r>
          </w:p>
        </w:tc>
        <w:tc>
          <w:tcPr>
            <w:tcW w:w="8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NEOs ($) (2)</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NEOs ($) (3)</w:t>
            </w: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(4)</w:t>
            </w: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in 000s)</w:t>
            </w:r>
          </w:p>
        </w:tc>
        <w:tc>
          <w:tcPr>
            <w:tcW w:w="0" w:type="dxa"/>
            <w:vAlign w:val="bottom"/>
          </w:tcPr>
          <w:p>
            <w:pPr>
              <w:spacing w:after="0"/>
              <w:rPr>
                <w:sz w:val="1"/>
                <w:szCs w:val="1"/>
                <w:color w:val="auto"/>
              </w:rPr>
            </w:pPr>
          </w:p>
        </w:tc>
      </w:tr>
      <w:tr>
        <w:trPr>
          <w:trHeight w:val="225"/>
        </w:trPr>
        <w:tc>
          <w:tcPr>
            <w:tcW w:w="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w:t>
            </w:r>
          </w:p>
        </w:tc>
        <w:tc>
          <w:tcPr>
            <w:tcW w:w="8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8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(d)</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(f)</w:t>
            </w:r>
          </w:p>
        </w:tc>
        <w:tc>
          <w:tcPr>
            <w:tcW w:w="8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(g)</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(h)</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(i)</w:t>
            </w:r>
          </w:p>
        </w:tc>
        <w:tc>
          <w:tcPr>
            <w:tcW w:w="0" w:type="dxa"/>
            <w:vAlign w:val="bottom"/>
          </w:tcPr>
          <w:p>
            <w:pPr>
              <w:spacing w:after="0"/>
              <w:rPr>
                <w:sz w:val="1"/>
                <w:szCs w:val="1"/>
                <w:color w:val="auto"/>
              </w:rPr>
            </w:pPr>
          </w:p>
        </w:tc>
      </w:tr>
      <w:tr>
        <w:trPr>
          <w:trHeight w:val="229"/>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2,078,854</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1,481,861</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952,961</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192,141</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1,186,635</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730,744</w:t>
            </w:r>
          </w:p>
        </w:tc>
        <w:tc>
          <w:tcPr>
            <w:tcW w:w="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(74,620)</w:t>
            </w:r>
          </w:p>
        </w:tc>
        <w:tc>
          <w:tcPr>
            <w:tcW w:w="0" w:type="dxa"/>
            <w:vAlign w:val="bottom"/>
          </w:tcPr>
          <w:p>
            <w:pPr>
              <w:spacing w:after="0"/>
              <w:rPr>
                <w:sz w:val="1"/>
                <w:szCs w:val="1"/>
                <w:color w:val="auto"/>
              </w:rPr>
            </w:pPr>
          </w:p>
        </w:tc>
      </w:tr>
      <w:tr>
        <w:trPr>
          <w:trHeight w:val="230"/>
        </w:trPr>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6,403,448</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1,776,559</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2,505,576</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1,125,918</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(66,966)</w:t>
            </w:r>
          </w:p>
        </w:tc>
        <w:tc>
          <w:tcPr>
            <w:tcW w:w="0" w:type="dxa"/>
            <w:vAlign w:val="bottom"/>
          </w:tcPr>
          <w:p>
            <w:pPr>
              <w:spacing w:after="0"/>
              <w:rPr>
                <w:sz w:val="1"/>
                <w:szCs w:val="1"/>
                <w:color w:val="auto"/>
              </w:rPr>
            </w:pPr>
          </w:p>
        </w:tc>
      </w:tr>
      <w:tr>
        <w:trPr>
          <w:trHeight w:val="234"/>
        </w:trPr>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c>
          <w:tcPr>
            <w:tcW w:w="8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3,705,825</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6,488,555</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1,664,706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2,645,829</w:t>
            </w:r>
          </w:p>
        </w:tc>
        <w:tc>
          <w:tcPr>
            <w:tcW w:w="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42.08</w:t>
            </w:r>
          </w:p>
        </w:tc>
        <w:tc>
          <w:tcPr>
            <w:tcW w:w="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c>
          <w:tcPr>
            <w:tcW w:w="0" w:type="dxa"/>
            <w:vAlign w:val="bottom"/>
          </w:tcPr>
          <w:p>
            <w:pPr>
              <w:spacing w:after="0"/>
              <w:rPr>
                <w:sz w:val="1"/>
                <w:szCs w:val="1"/>
                <w:color w:val="auto"/>
              </w:rPr>
            </w:pPr>
          </w:p>
        </w:tc>
      </w:tr>
    </w:tbl>
    <w:p>
      <w:pPr>
        <w:spacing w:after="0" w:line="314" w:lineRule="exact"/>
        <w:rPr>
          <w:sz w:val="20"/>
          <w:szCs w:val="20"/>
          <w:color w:val="auto"/>
        </w:rPr>
      </w:pPr>
    </w:p>
    <w:p>
      <w:pPr>
        <w:ind w:left="500" w:right="60" w:hanging="492"/>
        <w:spacing w:after="0" w:line="256"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(d) are the amounts of total compensation reported for Scott Koenig, M.D., Ph.D. (our former PEO) for each corresponding year in the “Total” column of the Summary Compensation Table (“SCT”). For fiscal years 2023 to 2025, Dr. Koenig was the PEO for the company. In fiscal year 2025, Dr. Koenig served as PEO for a portion of the year. The dollar amounts reported in column (b) are the amounts of total compensation reported for Eric Risser (our current PEO) for each corresponding year in the “Total” column of the Summary Compensation Table (“SCT”). Eric Risser served as PEO for the later portion of the 2025 fiscal year (beginning in August 2025). Refer to “Executive Compensation Information—Summary Compensation Table.”</w:t>
      </w:r>
    </w:p>
    <w:p>
      <w:pPr>
        <w:spacing w:after="0" w:line="79" w:lineRule="exact"/>
        <w:rPr>
          <w:rFonts w:ascii="Times New Roman" w:cs="Times New Roman" w:eastAsia="Times New Roman" w:hAnsi="Times New Roman"/>
          <w:sz w:val="18"/>
          <w:szCs w:val="18"/>
          <w:color w:val="auto"/>
        </w:rPr>
      </w:pPr>
    </w:p>
    <w:p>
      <w:pPr>
        <w:ind w:left="500" w:right="60" w:hanging="492"/>
        <w:spacing w:after="0" w:line="282" w:lineRule="auto"/>
        <w:tabs>
          <w:tab w:leader="none" w:pos="49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(f) represent the average of the amounts reported for the Non-PEO NEOs (excluding our PEO) in the “Total” column of the Summary Compensation Table in each applicable year. The Non-PEO NEOs included in the table above were as follows:</w:t>
      </w:r>
    </w:p>
    <w:p>
      <w:pPr>
        <w:spacing w:after="0" w:line="53"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2025: James Karrels and Ezio Bonvini</w:t>
      </w:r>
    </w:p>
    <w:p>
      <w:pPr>
        <w:spacing w:after="0" w:line="117"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2024 and 2023: James Karrels and Stephen Eck, M.D., Ph.D.</w:t>
      </w:r>
    </w:p>
    <w:p>
      <w:pPr>
        <w:spacing w:after="0" w:line="117" w:lineRule="exact"/>
        <w:rPr>
          <w:rFonts w:ascii="Times New Roman" w:cs="Times New Roman" w:eastAsia="Times New Roman" w:hAnsi="Times New Roman"/>
          <w:sz w:val="18"/>
          <w:szCs w:val="18"/>
          <w:color w:val="auto"/>
        </w:rPr>
      </w:pPr>
    </w:p>
    <w:p>
      <w:pPr>
        <w:ind w:left="500" w:right="180" w:hanging="492"/>
        <w:spacing w:after="0" w:line="261" w:lineRule="auto"/>
        <w:tabs>
          <w:tab w:leader="none" w:pos="50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The dollar amounts reported in columns (c), (e) and (g) represent the amount of CAP to Mr. Risser, Dr. Koenig,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to calculate CAP, compensation related to equity awards was remeasured based on the following:</w:t>
      </w:r>
    </w:p>
    <w:p>
      <w:pPr>
        <w:spacing w:after="0" w:line="206" w:lineRule="exact"/>
        <w:rPr>
          <w:rFonts w:ascii="Times New Roman" w:cs="Times New Roman" w:eastAsia="Times New Roman" w:hAnsi="Times New Roman"/>
          <w:sz w:val="16"/>
          <w:szCs w:val="16"/>
          <w:color w:val="auto"/>
        </w:rPr>
      </w:pPr>
    </w:p>
    <w:p>
      <w:pPr>
        <w:ind w:left="1140" w:right="380" w:hanging="484"/>
        <w:spacing w:after="0" w:line="282" w:lineRule="auto"/>
        <w:tabs>
          <w:tab w:leader="none" w:pos="11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awards to NEOs, the fair values and the change in fair values were determined by the closing pricing of our common stock at each applicable year-end date, or, in the case of vested awards, the actual price on vesting.</w:t>
      </w:r>
    </w:p>
    <w:p>
      <w:pPr>
        <w:spacing w:after="0" w:line="53" w:lineRule="exact"/>
        <w:rPr>
          <w:rFonts w:ascii="Times New Roman" w:cs="Times New Roman" w:eastAsia="Times New Roman" w:hAnsi="Times New Roman"/>
          <w:sz w:val="18"/>
          <w:szCs w:val="18"/>
          <w:color w:val="auto"/>
        </w:rPr>
      </w:pPr>
    </w:p>
    <w:p>
      <w:pPr>
        <w:ind w:left="1140" w:right="180" w:hanging="484"/>
        <w:spacing w:after="0" w:line="266" w:lineRule="auto"/>
        <w:tabs>
          <w:tab w:leader="none" w:pos="11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stock options, a Black-Scholes (“BSM”) option-pricing model was used as of the applicable year-end date, or, in the case of vested options, the vesting date. The BSM model requires us to make assumptions and judgments regarding the variables used in the calculation, including the expected remaining term, expected volatility, and the expected risk-</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9" w:name="page50"/>
    <w:bookmarkEnd w:id="49"/>
    <w:p>
      <w:pPr>
        <w:ind w:left="1140" w:right="260"/>
        <w:spacing w:after="0" w:line="282" w:lineRule="auto"/>
        <w:rPr>
          <w:sz w:val="20"/>
          <w:szCs w:val="20"/>
          <w:color w:val="auto"/>
        </w:rPr>
      </w:pPr>
      <w:r>
        <w:rPr>
          <w:rFonts w:ascii="Times New Roman" w:cs="Times New Roman" w:eastAsia="Times New Roman" w:hAnsi="Times New Roman"/>
          <w:sz w:val="18"/>
          <w:szCs w:val="18"/>
          <w:color w:val="auto"/>
        </w:rPr>
        <w:t>free rate. The valuation assumptions used to calculate the CAP shown in the table were materially consistent with those used to calculate our share-based compensation expense, as disclosed in our 2025 Annual Report on Form 10-K.</w:t>
      </w:r>
    </w:p>
    <w:p>
      <w:pPr>
        <w:spacing w:after="0" w:line="40" w:lineRule="exact"/>
        <w:rPr>
          <w:sz w:val="20"/>
          <w:szCs w:val="20"/>
          <w:color w:val="auto"/>
        </w:rPr>
      </w:pPr>
    </w:p>
    <w:p>
      <w:pPr>
        <w:jc w:val="both"/>
        <w:ind w:left="500" w:hanging="492"/>
        <w:spacing w:after="0" w:line="242" w:lineRule="auto"/>
        <w:tabs>
          <w:tab w:leader="none" w:pos="44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TSR is determined based on the value of an initial fixed investment of $100 on December 31, 2020. Cumulative TSR is calculated by dividing the sum of the cumulative amount of dividends for the measurement period, assuming dividend reinvestment, and the difference between the Company’s share price at the end of the measurement period and the Company’s share price at the beginning of the measurement period.</w:t>
      </w:r>
    </w:p>
    <w:p>
      <w:pPr>
        <w:spacing w:after="0" w:line="197"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41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(g) represent the amount of net loss reflected in the Company’s audited financial statements for the applicable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2025 CAP to our Current and Former PEO and the average CAP to our non-PEO NEOs reflects the following adjustments required by the applicable</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 rules from the total compensation reported in the Summary Compensation Table (“SCT”):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80" w:type="dxa"/>
            <w:vAlign w:val="bottom"/>
          </w:tcPr>
          <w:p>
            <w:pPr>
              <w:spacing w:after="0"/>
              <w:rPr>
                <w:sz w:val="16"/>
                <w:szCs w:val="16"/>
                <w:color w:val="auto"/>
              </w:rPr>
            </w:pPr>
          </w:p>
        </w:tc>
        <w:tc>
          <w:tcPr>
            <w:tcW w:w="16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PEO</w:t>
            </w:r>
          </w:p>
        </w:tc>
        <w:tc>
          <w:tcPr>
            <w:tcW w:w="280" w:type="dxa"/>
            <w:vAlign w:val="bottom"/>
          </w:tcPr>
          <w:p>
            <w:pPr>
              <w:spacing w:after="0"/>
              <w:rPr>
                <w:sz w:val="16"/>
                <w:szCs w:val="16"/>
                <w:color w:val="auto"/>
              </w:rPr>
            </w:pPr>
          </w:p>
        </w:tc>
        <w:tc>
          <w:tcPr>
            <w:tcW w:w="16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Former PEO</w:t>
            </w:r>
          </w:p>
        </w:tc>
        <w:tc>
          <w:tcPr>
            <w:tcW w:w="160" w:type="dxa"/>
            <w:vAlign w:val="bottom"/>
          </w:tcPr>
          <w:p>
            <w:pPr>
              <w:spacing w:after="0"/>
              <w:rPr>
                <w:sz w:val="16"/>
                <w:szCs w:val="16"/>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Average of Non-PEO</w:t>
            </w:r>
          </w:p>
        </w:tc>
        <w:tc>
          <w:tcPr>
            <w:tcW w:w="0" w:type="dxa"/>
            <w:vAlign w:val="bottom"/>
          </w:tcPr>
          <w:p>
            <w:pPr>
              <w:spacing w:after="0"/>
              <w:rPr>
                <w:sz w:val="1"/>
                <w:szCs w:val="1"/>
                <w:color w:val="auto"/>
              </w:rPr>
            </w:pPr>
          </w:p>
        </w:tc>
      </w:tr>
      <w:tr>
        <w:trPr>
          <w:trHeight w:val="214"/>
        </w:trPr>
        <w:tc>
          <w:tcPr>
            <w:tcW w:w="53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NEOs</w:t>
            </w:r>
          </w:p>
        </w:tc>
        <w:tc>
          <w:tcPr>
            <w:tcW w:w="0" w:type="dxa"/>
            <w:vAlign w:val="bottom"/>
          </w:tcPr>
          <w:p>
            <w:pPr>
              <w:spacing w:after="0"/>
              <w:rPr>
                <w:sz w:val="1"/>
                <w:szCs w:val="1"/>
                <w:color w:val="auto"/>
              </w:rPr>
            </w:pPr>
          </w:p>
        </w:tc>
      </w:tr>
      <w:tr>
        <w:trPr>
          <w:trHeight w:val="211"/>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Reported in 2025 SCT</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2,078,854</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952,961</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1,186,635</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grant date value of equity awards reported in the SCT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(1,101,386)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(323,161)</w:t>
            </w:r>
          </w:p>
        </w:tc>
        <w:tc>
          <w:tcPr>
            <w:tcW w:w="0" w:type="dxa"/>
            <w:vAlign w:val="bottom"/>
          </w:tcPr>
          <w:p>
            <w:pPr>
              <w:spacing w:after="0"/>
              <w:rPr>
                <w:sz w:val="1"/>
                <w:szCs w:val="1"/>
                <w:color w:val="auto"/>
              </w:rPr>
            </w:pPr>
          </w:p>
        </w:tc>
      </w:tr>
      <w:tr>
        <w:trPr>
          <w:trHeight w:val="165"/>
        </w:trPr>
        <w:tc>
          <w:tcPr>
            <w:tcW w:w="53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Add: year-end value of equity awards granted in 2025 that are unvested and</w:t>
            </w:r>
          </w:p>
        </w:tc>
        <w:tc>
          <w:tcPr>
            <w:tcW w:w="2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812,530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138,915</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w:t>
            </w:r>
          </w:p>
        </w:tc>
        <w:tc>
          <w:tcPr>
            <w:tcW w:w="2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Add: change in fair value (from prior year-end) of prior year equity awards that</w:t>
            </w: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(182,935)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(447,310)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(169,600)</w:t>
            </w:r>
          </w:p>
        </w:tc>
        <w:tc>
          <w:tcPr>
            <w:tcW w:w="0" w:type="dxa"/>
            <w:vAlign w:val="bottom"/>
          </w:tcPr>
          <w:p>
            <w:pPr>
              <w:spacing w:after="0"/>
              <w:rPr>
                <w:sz w:val="1"/>
                <w:szCs w:val="1"/>
                <w:color w:val="auto"/>
              </w:rPr>
            </w:pPr>
          </w:p>
        </w:tc>
      </w:tr>
      <w:tr>
        <w:trPr>
          <w:trHeight w:val="213"/>
        </w:trPr>
        <w:tc>
          <w:tcPr>
            <w:tcW w:w="5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are unvested and outstanding</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fair market value of equity awards granted in 2025 and that vested in 2025</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23,202</w:t>
            </w:r>
          </w:p>
        </w:tc>
        <w:tc>
          <w:tcPr>
            <w:tcW w:w="0" w:type="dxa"/>
            <w:vAlign w:val="bottom"/>
          </w:tcPr>
          <w:p>
            <w:pPr>
              <w:spacing w:after="0"/>
              <w:rPr>
                <w:sz w:val="1"/>
                <w:szCs w:val="1"/>
                <w:color w:val="auto"/>
              </w:rPr>
            </w:pPr>
          </w:p>
        </w:tc>
      </w:tr>
      <w:tr>
        <w:trPr>
          <w:trHeight w:val="162"/>
        </w:trPr>
        <w:tc>
          <w:tcPr>
            <w:tcW w:w="53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Add: change in fair value (from prior year-end) of prior year equity awards that</w:t>
            </w: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(148,308)</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(313,510)</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(125,247)</w:t>
            </w:r>
          </w:p>
        </w:tc>
        <w:tc>
          <w:tcPr>
            <w:tcW w:w="0" w:type="dxa"/>
            <w:vAlign w:val="bottom"/>
          </w:tcPr>
          <w:p>
            <w:pPr>
              <w:spacing w:after="0"/>
              <w:rPr>
                <w:sz w:val="1"/>
                <w:szCs w:val="1"/>
                <w:color w:val="auto"/>
              </w:rPr>
            </w:pPr>
          </w:p>
        </w:tc>
      </w:tr>
      <w:tr>
        <w:trPr>
          <w:trHeight w:val="216"/>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in 2025</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Actually Paid to PEO for Fiscal Year</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1,481,861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192,141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730,744</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2024 CAP to our PEO and the average CAP to our non-PEO NEOs reflects the following adjustments required by the applicable SEC rules from the total compensation reported in the SCT:</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440" w:type="dxa"/>
            <w:vAlign w:val="bottom"/>
          </w:tcPr>
          <w:p>
            <w:pPr>
              <w:spacing w:after="0"/>
              <w:rPr>
                <w:sz w:val="16"/>
                <w:szCs w:val="16"/>
                <w:color w:val="auto"/>
              </w:rPr>
            </w:pPr>
          </w:p>
        </w:tc>
        <w:tc>
          <w:tcPr>
            <w:tcW w:w="15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6"/>
                <w:szCs w:val="16"/>
                <w:b w:val="1"/>
                <w:bCs w:val="1"/>
                <w:color w:val="auto"/>
              </w:rPr>
              <w:t>PEO</w:t>
            </w:r>
          </w:p>
        </w:tc>
        <w:tc>
          <w:tcPr>
            <w:tcW w:w="160" w:type="dxa"/>
            <w:vAlign w:val="bottom"/>
          </w:tcPr>
          <w:p>
            <w:pPr>
              <w:spacing w:after="0"/>
              <w:rPr>
                <w:sz w:val="16"/>
                <w:szCs w:val="16"/>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Average of Non-PEO</w:t>
            </w:r>
          </w:p>
        </w:tc>
        <w:tc>
          <w:tcPr>
            <w:tcW w:w="0" w:type="dxa"/>
            <w:vAlign w:val="bottom"/>
          </w:tcPr>
          <w:p>
            <w:pPr>
              <w:spacing w:after="0"/>
              <w:rPr>
                <w:sz w:val="1"/>
                <w:szCs w:val="1"/>
                <w:color w:val="auto"/>
              </w:rPr>
            </w:pPr>
          </w:p>
        </w:tc>
      </w:tr>
      <w:tr>
        <w:trPr>
          <w:trHeight w:val="214"/>
        </w:trPr>
        <w:tc>
          <w:tcPr>
            <w:tcW w:w="718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NEOs</w:t>
            </w:r>
          </w:p>
        </w:tc>
        <w:tc>
          <w:tcPr>
            <w:tcW w:w="0" w:type="dxa"/>
            <w:vAlign w:val="bottom"/>
          </w:tcPr>
          <w:p>
            <w:pPr>
              <w:spacing w:after="0"/>
              <w:rPr>
                <w:sz w:val="1"/>
                <w:szCs w:val="1"/>
                <w:color w:val="auto"/>
              </w:rPr>
            </w:pPr>
          </w:p>
        </w:tc>
      </w:tr>
      <w:tr>
        <w:trPr>
          <w:trHeight w:val="211"/>
        </w:trPr>
        <w:tc>
          <w:tcPr>
            <w:tcW w:w="7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Reported in 2024 SCT</w:t>
            </w: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6,403,448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2,505,576</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grant date value of equity awards reported in the SCT</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(5,313,147)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(1,806,206)</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year-end value of equity awards granted in 2024 that are unvested and outstanding</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512,785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212,136</w:t>
            </w:r>
          </w:p>
        </w:tc>
        <w:tc>
          <w:tcPr>
            <w:tcW w:w="0" w:type="dxa"/>
            <w:vAlign w:val="bottom"/>
          </w:tcPr>
          <w:p>
            <w:pPr>
              <w:spacing w:after="0"/>
              <w:rPr>
                <w:sz w:val="1"/>
                <w:szCs w:val="1"/>
                <w:color w:val="auto"/>
              </w:rPr>
            </w:pPr>
          </w:p>
        </w:tc>
      </w:tr>
      <w:tr>
        <w:trPr>
          <w:trHeight w:val="213"/>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change in fair value (from prior year-end) of prior year equity awards that are unvested and outstanding</w:t>
            </w:r>
          </w:p>
        </w:tc>
        <w:tc>
          <w:tcPr>
            <w:tcW w:w="4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(599,348)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(131,539)</w:t>
            </w:r>
          </w:p>
        </w:tc>
        <w:tc>
          <w:tcPr>
            <w:tcW w:w="0" w:type="dxa"/>
            <w:vAlign w:val="bottom"/>
          </w:tcPr>
          <w:p>
            <w:pPr>
              <w:spacing w:after="0"/>
              <w:rPr>
                <w:sz w:val="1"/>
                <w:szCs w:val="1"/>
                <w:color w:val="auto"/>
              </w:rPr>
            </w:pPr>
          </w:p>
        </w:tc>
      </w:tr>
      <w:tr>
        <w:trPr>
          <w:trHeight w:val="21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fair market value of equity awards granted in 2024 and that vested in 2024</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46,825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27,458</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change in fair value (from prior year-end) of prior year equity awards that vested in 2024</w:t>
            </w: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725,996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318,493</w:t>
            </w:r>
          </w:p>
        </w:tc>
        <w:tc>
          <w:tcPr>
            <w:tcW w:w="0" w:type="dxa"/>
            <w:vAlign w:val="bottom"/>
          </w:tcPr>
          <w:p>
            <w:pPr>
              <w:spacing w:after="0"/>
              <w:rPr>
                <w:sz w:val="1"/>
                <w:szCs w:val="1"/>
                <w:color w:val="auto"/>
              </w:rPr>
            </w:pPr>
          </w:p>
        </w:tc>
      </w:tr>
      <w:tr>
        <w:trPr>
          <w:trHeight w:val="235"/>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Actually Paid to PEO for Fiscal Year</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1,776,559</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1,125,918</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2023 CAP to our PEO and the average CAP to our non-PEO NEOs reflects the following adjustments required by the applicable SEC rules from the total compensation reported in the SCT: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184"/>
        </w:trPr>
        <w:tc>
          <w:tcPr>
            <w:tcW w:w="71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Year</w:t>
            </w:r>
          </w:p>
        </w:tc>
        <w:tc>
          <w:tcPr>
            <w:tcW w:w="440" w:type="dxa"/>
            <w:vAlign w:val="bottom"/>
          </w:tcPr>
          <w:p>
            <w:pPr>
              <w:spacing w:after="0"/>
              <w:rPr>
                <w:sz w:val="16"/>
                <w:szCs w:val="16"/>
                <w:color w:val="auto"/>
              </w:rPr>
            </w:pPr>
          </w:p>
        </w:tc>
        <w:tc>
          <w:tcPr>
            <w:tcW w:w="1480" w:type="dxa"/>
            <w:vAlign w:val="bottom"/>
            <w:vMerge w:val="restart"/>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PEO</w:t>
            </w:r>
          </w:p>
        </w:tc>
        <w:tc>
          <w:tcPr>
            <w:tcW w:w="200" w:type="dxa"/>
            <w:vAlign w:val="bottom"/>
          </w:tcPr>
          <w:p>
            <w:pPr>
              <w:spacing w:after="0"/>
              <w:rPr>
                <w:sz w:val="16"/>
                <w:szCs w:val="16"/>
                <w:color w:val="auto"/>
              </w:rPr>
            </w:pPr>
          </w:p>
        </w:tc>
        <w:tc>
          <w:tcPr>
            <w:tcW w:w="1720" w:type="dxa"/>
            <w:vAlign w:val="bottom"/>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Average of Non-PEO</w:t>
            </w:r>
          </w:p>
        </w:tc>
        <w:tc>
          <w:tcPr>
            <w:tcW w:w="0" w:type="dxa"/>
            <w:vAlign w:val="bottom"/>
          </w:tcPr>
          <w:p>
            <w:pPr>
              <w:spacing w:after="0"/>
              <w:rPr>
                <w:sz w:val="1"/>
                <w:szCs w:val="1"/>
                <w:color w:val="auto"/>
              </w:rPr>
            </w:pPr>
          </w:p>
        </w:tc>
      </w:tr>
      <w:tr>
        <w:trPr>
          <w:trHeight w:val="214"/>
        </w:trPr>
        <w:tc>
          <w:tcPr>
            <w:tcW w:w="7180" w:type="dxa"/>
            <w:vAlign w:val="bottom"/>
            <w:tcBorders>
              <w:bottom w:val="single" w:sz="8" w:color="CCEEFF"/>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6"/>
                <w:szCs w:val="16"/>
                <w:b w:val="1"/>
                <w:bCs w:val="1"/>
                <w:color w:val="auto"/>
              </w:rPr>
              <w:t>NEOs</w:t>
            </w:r>
          </w:p>
        </w:tc>
        <w:tc>
          <w:tcPr>
            <w:tcW w:w="0" w:type="dxa"/>
            <w:vAlign w:val="bottom"/>
          </w:tcPr>
          <w:p>
            <w:pPr>
              <w:spacing w:after="0"/>
              <w:rPr>
                <w:sz w:val="1"/>
                <w:szCs w:val="1"/>
                <w:color w:val="auto"/>
              </w:rPr>
            </w:pPr>
          </w:p>
        </w:tc>
      </w:tr>
      <w:tr>
        <w:trPr>
          <w:trHeight w:val="211"/>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Reported in 2023 SCT</w:t>
            </w: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3,705,825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1,664,706</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grant date value of equity awards reported in the SCT</w:t>
            </w:r>
          </w:p>
        </w:tc>
        <w:tc>
          <w:tcPr>
            <w:tcW w:w="4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(2,506,331)</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(934,629)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year-end value of equity awards granted in 2023 that are unvested and outstanding</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4,394,276</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1,638,875</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change in fair value (from prior year-end) of prior year equity awards that are unvested and outstanding</w:t>
            </w:r>
          </w:p>
        </w:tc>
        <w:tc>
          <w:tcPr>
            <w:tcW w:w="4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690,071</w:t>
            </w:r>
          </w:p>
        </w:tc>
        <w:tc>
          <w:tcPr>
            <w:tcW w:w="2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192,250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fair market value of equity awards granted in 2023 and that vested in 2023</w:t>
            </w:r>
          </w:p>
        </w:tc>
        <w:tc>
          <w:tcPr>
            <w:tcW w:w="44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406,569</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151,467</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change in fair value (from prior year-end) of prior year equity awards that vested in 2023</w:t>
            </w: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(201,855)</w:t>
            </w: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(66,840)</w:t>
            </w:r>
          </w:p>
        </w:tc>
        <w:tc>
          <w:tcPr>
            <w:tcW w:w="0" w:type="dxa"/>
            <w:vAlign w:val="bottom"/>
          </w:tcPr>
          <w:p>
            <w:pPr>
              <w:spacing w:after="0"/>
              <w:rPr>
                <w:sz w:val="1"/>
                <w:szCs w:val="1"/>
                <w:color w:val="auto"/>
              </w:rPr>
            </w:pPr>
          </w:p>
        </w:tc>
      </w:tr>
      <w:tr>
        <w:trPr>
          <w:trHeight w:val="235"/>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Actually Paid to PEO for Fiscal Year</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6"/>
                <w:szCs w:val="16"/>
                <w:color w:val="auto"/>
              </w:rPr>
              <w:t>6,488,555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2,645,829</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Required Disclosure of the Relationship between Compensation Actually Paid and Financial Performance Measures</w:t>
      </w:r>
    </w:p>
    <w:p>
      <w:pPr>
        <w:spacing w:after="0" w:line="229"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descriptions of the relationships between information presented in the Pay Versus Performance table above.</w:t>
      </w:r>
    </w:p>
    <w:p>
      <w:pPr>
        <w:spacing w:after="0" w:line="19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Net Income (Loss)</w:t>
      </w:r>
    </w:p>
    <w:p>
      <w:pPr>
        <w:spacing w:after="0" w:line="256" w:lineRule="exact"/>
        <w:rPr>
          <w:sz w:val="20"/>
          <w:szCs w:val="20"/>
          <w:color w:val="auto"/>
        </w:rPr>
      </w:pPr>
    </w:p>
    <w:p>
      <w:pPr>
        <w:ind w:right="20" w:firstLine="405"/>
        <w:spacing w:after="0" w:line="266" w:lineRule="auto"/>
        <w:rPr>
          <w:sz w:val="20"/>
          <w:szCs w:val="20"/>
          <w:color w:val="auto"/>
        </w:rPr>
      </w:pPr>
      <w:r>
        <w:rPr>
          <w:rFonts w:ascii="Times New Roman" w:cs="Times New Roman" w:eastAsia="Times New Roman" w:hAnsi="Times New Roman"/>
          <w:sz w:val="18"/>
          <w:szCs w:val="18"/>
          <w:color w:val="auto"/>
        </w:rPr>
        <w:t>Due to the nature of our Company’s consolidated financials and primary focus on research and development of novel therapies, our company has not historically utilized net income (loss) as a performance measure for our executive compensation program. As a result, we do not believe there is any meaningful relationship between our net loss and compensation actually paid to our NEOs during the periods presented.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93" w:right="419" w:bottom="1440" w:gutter="0" w:footer="0" w:header="0"/>
        </w:sectPr>
      </w:pPr>
    </w:p>
    <w:bookmarkStart w:id="51" w:name="page52"/>
    <w:bookmarkEnd w:id="51"/>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Actually Paid and TSR</w:t>
      </w:r>
    </w:p>
    <w:p>
      <w:pPr>
        <w:spacing w:after="0" w:line="256"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graph sets forth the relationship between CAP to our PEO, the average of CAP to our Non-PEO NEOs, and the Company's TSR over the period covering 2023,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131445</wp:posOffset>
            </wp:positionV>
            <wp:extent cx="5572125" cy="32575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5721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left="340" w:right="20"/>
        <w:spacing w:after="0"/>
        <w:rPr>
          <w:sz w:val="20"/>
          <w:szCs w:val="20"/>
          <w:color w:val="auto"/>
        </w:rPr>
      </w:pPr>
      <w:r>
        <w:rPr>
          <w:rFonts w:ascii="Times New Roman" w:cs="Times New Roman" w:eastAsia="Times New Roman" w:hAnsi="Times New Roman"/>
          <w:sz w:val="18"/>
          <w:szCs w:val="18"/>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Practices Related to the Grant of Certain Equity Awards Close in Time to the Release of Material Nonpublic Information</w:t>
      </w:r>
    </w:p>
    <w:p>
      <w:pPr>
        <w:spacing w:after="0" w:line="256"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333333"/>
        </w:rPr>
        <w:t>We provide the following discussion of the timing of option awards in relation to the disclosure of material nonpublic information, as required by Item 402(x) of Regulation S-K. Our long-standing practice has been to grant long-term incentive equity awards on a predetermined schedule. At the final meeting of the annual compensation cycle, the Human Capital Management Committee reviews and approves the value and amount of the equity compensation to be awarded (inclusive of RSUs and stock options) to executive officers with the grant of approved equity awards typically occurring on the day of approval.</w:t>
      </w:r>
    </w:p>
    <w:p>
      <w:pPr>
        <w:spacing w:after="0" w:line="21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333333"/>
        </w:rPr>
        <w:t xml:space="preserve">The Human Capital Management </w:t>
      </w:r>
      <w:r>
        <w:rPr>
          <w:rFonts w:ascii="Times New Roman" w:cs="Times New Roman" w:eastAsia="Times New Roman" w:hAnsi="Times New Roman"/>
          <w:sz w:val="18"/>
          <w:szCs w:val="18"/>
          <w:color w:val="000000"/>
        </w:rPr>
        <w:t>Committee did not take material nonpublic information into account when determining the timing and terms of</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 xml:space="preserve">long-term incentive equity awards in 2024 and does not time the disclosure of material nonpublic information for the purpose of affecting the value of executive compensation. Instead, the timing of grants is in accordance with the yearly compensation cycle, with awards granted typically in the first quarter of the new fiscal year to incentivize our executives to deliver on the Company’s strategic objectives for the new fiscal year. </w:t>
      </w:r>
      <w:r>
        <w:rPr>
          <w:rFonts w:ascii="Times New Roman" w:cs="Times New Roman" w:eastAsia="Times New Roman" w:hAnsi="Times New Roman"/>
          <w:sz w:val="18"/>
          <w:szCs w:val="18"/>
          <w:color w:val="231F20"/>
        </w:rPr>
        <w:t>I</w:t>
      </w:r>
      <w:r>
        <w:rPr>
          <w:rFonts w:ascii="Times New Roman" w:cs="Times New Roman" w:eastAsia="Times New Roman" w:hAnsi="Times New Roman"/>
          <w:sz w:val="18"/>
          <w:szCs w:val="18"/>
          <w:color w:val="000000"/>
        </w:rPr>
        <w:t xml:space="preserve">n 2025, stock option grants were made during a designated time period that triggered proxy statement disclosure of such grants under certain new disclosure requirements in Regulation S-K Item </w:t>
      </w:r>
      <w:r>
        <w:rPr>
          <w:rFonts w:ascii="Times New Roman" w:cs="Times New Roman" w:eastAsia="Times New Roman" w:hAnsi="Times New Roman"/>
          <w:sz w:val="18"/>
          <w:szCs w:val="18"/>
          <w:b w:val="1"/>
          <w:bCs w:val="1"/>
          <w:color w:val="000000"/>
        </w:rPr>
        <w:t>402(x</w:t>
      </w:r>
      <w:r>
        <w:rPr>
          <w:rFonts w:ascii="Times New Roman" w:cs="Times New Roman" w:eastAsia="Times New Roman" w:hAnsi="Times New Roman"/>
          <w:sz w:val="18"/>
          <w:szCs w:val="18"/>
          <w:color w:val="000000"/>
        </w:rPr>
        <w:t>)(1), but the Company has not timed the disclosure of material nonpublic information for the purpose of affecting the value of executive compensation. During 2025, the Company granted 550,000 stock options to Eric Risser on August 13, 2025, which was during the period beginning four business days before and ending one business day after the filing a Form 8-K on August 14, 2025 that disclosed material nonpublic information. Pursuant to SEC rules, we are providing the following information relating to the stock options awarded to Mr. Risser during the designated time period.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52" w:name="page53"/>
    <w:bookmarkEnd w:id="52"/>
    <w:tbl>
      <w:tblPr>
        <w:tblLayout w:type="fixed"/>
        <w:tblInd w:w="10" w:type="dxa"/>
        <w:tblCellMar>
          <w:top w:w="0" w:type="dxa"/>
          <w:left w:w="0" w:type="dxa"/>
          <w:bottom w:w="0" w:type="dxa"/>
          <w:right w:w="0" w:type="dxa"/>
        </w:tblCellMar>
      </w:tblPr>
      <w:tr>
        <w:trPr>
          <w:trHeight w:val="221"/>
        </w:trPr>
        <w:tc>
          <w:tcPr>
            <w:tcW w:w="1400" w:type="dxa"/>
            <w:vAlign w:val="bottom"/>
            <w:tcBorders>
              <w:top w:val="single" w:sz="8" w:color="808285"/>
              <w:left w:val="single" w:sz="8" w:color="808285"/>
              <w:right w:val="single" w:sz="8" w:color="808285"/>
            </w:tcBorders>
            <w:shd w:val="clear" w:color="auto" w:fill="CCEEFF"/>
          </w:tcPr>
          <w:p>
            <w:pPr>
              <w:ind w:left="8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0" w:type="dxa"/>
            <w:vAlign w:val="bottom"/>
            <w:tcBorders>
              <w:top w:val="single" w:sz="8" w:color="808285"/>
              <w:right w:val="single" w:sz="8" w:color="808285"/>
            </w:tcBorders>
            <w:shd w:val="clear" w:color="auto" w:fill="CCEEFF"/>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Grant</w:t>
            </w:r>
          </w:p>
        </w:tc>
        <w:tc>
          <w:tcPr>
            <w:tcW w:w="1420" w:type="dxa"/>
            <w:vAlign w:val="bottom"/>
            <w:tcBorders>
              <w:top w:val="single" w:sz="8" w:color="808285"/>
              <w:right w:val="single" w:sz="8" w:color="808285"/>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20" w:type="dxa"/>
            <w:vAlign w:val="bottom"/>
            <w:tcBorders>
              <w:top w:val="single" w:sz="8" w:color="808285"/>
              <w:right w:val="single" w:sz="8" w:color="808285"/>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2100" w:type="dxa"/>
            <w:vAlign w:val="bottom"/>
            <w:tcBorders>
              <w:top w:val="single" w:sz="8" w:color="808285"/>
              <w:right w:val="single" w:sz="8" w:color="808285"/>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Grant Date Fair Value of</w:t>
            </w:r>
          </w:p>
        </w:tc>
        <w:tc>
          <w:tcPr>
            <w:tcW w:w="3480" w:type="dxa"/>
            <w:vAlign w:val="bottom"/>
            <w:tcBorders>
              <w:top w:val="single" w:sz="8" w:color="808285"/>
              <w:right w:val="single" w:sz="8" w:color="808285"/>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Percentage change in the Closing</w:t>
            </w:r>
          </w:p>
        </w:tc>
        <w:tc>
          <w:tcPr>
            <w:tcW w:w="20" w:type="dxa"/>
            <w:vAlign w:val="bottom"/>
          </w:tcPr>
          <w:p>
            <w:pPr>
              <w:spacing w:after="0"/>
              <w:rPr>
                <w:sz w:val="19"/>
                <w:szCs w:val="19"/>
                <w:color w:val="auto"/>
              </w:rPr>
            </w:pPr>
          </w:p>
        </w:tc>
      </w:tr>
      <w:tr>
        <w:trPr>
          <w:trHeight w:val="216"/>
        </w:trPr>
        <w:tc>
          <w:tcPr>
            <w:tcW w:w="1400" w:type="dxa"/>
            <w:vAlign w:val="bottom"/>
            <w:tcBorders>
              <w:left w:val="single" w:sz="8" w:color="808285"/>
              <w:right w:val="single" w:sz="8" w:color="808285"/>
            </w:tcBorders>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(a)</w:t>
            </w:r>
          </w:p>
        </w:tc>
        <w:tc>
          <w:tcPr>
            <w:tcW w:w="1400" w:type="dxa"/>
            <w:vAlign w:val="bottom"/>
            <w:tcBorders>
              <w:right w:val="single" w:sz="8" w:color="808285"/>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20" w:type="dxa"/>
            <w:vAlign w:val="bottom"/>
            <w:tcBorders>
              <w:right w:val="single" w:sz="8" w:color="808285"/>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808285"/>
            </w:tcBorders>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the Award</w:t>
            </w:r>
          </w:p>
        </w:tc>
        <w:tc>
          <w:tcPr>
            <w:tcW w:w="240" w:type="dxa"/>
            <w:vAlign w:val="bottom"/>
            <w:shd w:val="clear" w:color="auto" w:fill="CCEEFF"/>
          </w:tcPr>
          <w:p>
            <w:pPr>
              <w:spacing w:after="0"/>
              <w:rPr>
                <w:sz w:val="18"/>
                <w:szCs w:val="18"/>
                <w:color w:val="auto"/>
              </w:rPr>
            </w:pPr>
          </w:p>
        </w:tc>
        <w:tc>
          <w:tcPr>
            <w:tcW w:w="1860" w:type="dxa"/>
            <w:vAlign w:val="bottom"/>
            <w:tcBorders>
              <w:right w:val="single" w:sz="8" w:color="808285"/>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the Award ($) (e)</w:t>
            </w:r>
          </w:p>
        </w:tc>
        <w:tc>
          <w:tcPr>
            <w:tcW w:w="3480" w:type="dxa"/>
            <w:vAlign w:val="bottom"/>
            <w:tcBorders>
              <w:right w:val="single" w:sz="8" w:color="808285"/>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Market Price of the Securities Underlying</w:t>
            </w:r>
          </w:p>
        </w:tc>
        <w:tc>
          <w:tcPr>
            <w:tcW w:w="20" w:type="dxa"/>
            <w:vAlign w:val="bottom"/>
          </w:tcPr>
          <w:p>
            <w:pPr>
              <w:spacing w:after="0"/>
              <w:rPr>
                <w:sz w:val="18"/>
                <w:szCs w:val="18"/>
                <w:color w:val="auto"/>
              </w:rPr>
            </w:pPr>
          </w:p>
        </w:tc>
      </w:tr>
      <w:tr>
        <w:trPr>
          <w:trHeight w:val="203"/>
        </w:trPr>
        <w:tc>
          <w:tcPr>
            <w:tcW w:w="1400" w:type="dxa"/>
            <w:vAlign w:val="bottom"/>
            <w:tcBorders>
              <w:left w:val="single" w:sz="8" w:color="808285"/>
              <w:right w:val="single" w:sz="8" w:color="808285"/>
            </w:tcBorders>
            <w:shd w:val="clear" w:color="auto" w:fill="CCEEFF"/>
          </w:tcPr>
          <w:p>
            <w:pPr>
              <w:spacing w:after="0"/>
              <w:rPr>
                <w:sz w:val="17"/>
                <w:szCs w:val="17"/>
                <w:color w:val="auto"/>
              </w:rPr>
            </w:pPr>
          </w:p>
        </w:tc>
        <w:tc>
          <w:tcPr>
            <w:tcW w:w="1400" w:type="dxa"/>
            <w:vAlign w:val="bottom"/>
            <w:tcBorders>
              <w:right w:val="single" w:sz="8" w:color="808285"/>
            </w:tcBorders>
            <w:shd w:val="clear" w:color="auto" w:fill="CCEEFF"/>
          </w:tcPr>
          <w:p>
            <w:pPr>
              <w:jc w:val="center"/>
              <w:ind w:left="5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(b)</w:t>
            </w:r>
          </w:p>
        </w:tc>
        <w:tc>
          <w:tcPr>
            <w:tcW w:w="1420" w:type="dxa"/>
            <w:vAlign w:val="bottom"/>
            <w:tcBorders>
              <w:right w:val="single" w:sz="8" w:color="808285"/>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rPr>
              <w:t>Underlying the</w:t>
            </w:r>
          </w:p>
        </w:tc>
        <w:tc>
          <w:tcPr>
            <w:tcW w:w="200" w:type="dxa"/>
            <w:vAlign w:val="bottom"/>
            <w:shd w:val="clear" w:color="auto" w:fill="CCEEFF"/>
          </w:tcPr>
          <w:p>
            <w:pPr>
              <w:spacing w:after="0"/>
              <w:rPr>
                <w:sz w:val="17"/>
                <w:szCs w:val="17"/>
                <w:color w:val="auto"/>
              </w:rPr>
            </w:pPr>
          </w:p>
        </w:tc>
        <w:tc>
          <w:tcPr>
            <w:tcW w:w="1220" w:type="dxa"/>
            <w:vAlign w:val="bottom"/>
            <w:tcBorders>
              <w:right w:val="single" w:sz="8" w:color="808285"/>
            </w:tcBorders>
            <w:shd w:val="clear" w:color="auto" w:fill="CCEEFF"/>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($/Sh)</w:t>
            </w:r>
          </w:p>
        </w:tc>
        <w:tc>
          <w:tcPr>
            <w:tcW w:w="240" w:type="dxa"/>
            <w:vAlign w:val="bottom"/>
            <w:shd w:val="clear" w:color="auto" w:fill="CCEEFF"/>
          </w:tcPr>
          <w:p>
            <w:pPr>
              <w:spacing w:after="0"/>
              <w:rPr>
                <w:sz w:val="17"/>
                <w:szCs w:val="17"/>
                <w:color w:val="auto"/>
              </w:rPr>
            </w:pPr>
          </w:p>
        </w:tc>
        <w:tc>
          <w:tcPr>
            <w:tcW w:w="1860" w:type="dxa"/>
            <w:vAlign w:val="bottom"/>
            <w:tcBorders>
              <w:right w:val="single" w:sz="8" w:color="808285"/>
            </w:tcBorders>
            <w:shd w:val="clear" w:color="auto" w:fill="CCEEFF"/>
          </w:tcPr>
          <w:p>
            <w:pPr>
              <w:spacing w:after="0"/>
              <w:rPr>
                <w:sz w:val="17"/>
                <w:szCs w:val="17"/>
                <w:color w:val="auto"/>
              </w:rPr>
            </w:pPr>
          </w:p>
        </w:tc>
        <w:tc>
          <w:tcPr>
            <w:tcW w:w="3480" w:type="dxa"/>
            <w:vAlign w:val="bottom"/>
            <w:tcBorders>
              <w:right w:val="single" w:sz="8" w:color="808285"/>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the Award between the Trading Day Ending</w:t>
            </w:r>
          </w:p>
        </w:tc>
        <w:tc>
          <w:tcPr>
            <w:tcW w:w="20" w:type="dxa"/>
            <w:vAlign w:val="bottom"/>
          </w:tcPr>
          <w:p>
            <w:pPr>
              <w:spacing w:after="0"/>
              <w:rPr>
                <w:sz w:val="17"/>
                <w:szCs w:val="17"/>
                <w:color w:val="auto"/>
              </w:rPr>
            </w:pPr>
          </w:p>
        </w:tc>
      </w:tr>
      <w:tr>
        <w:trPr>
          <w:trHeight w:val="203"/>
        </w:trPr>
        <w:tc>
          <w:tcPr>
            <w:tcW w:w="1400" w:type="dxa"/>
            <w:vAlign w:val="bottom"/>
            <w:tcBorders>
              <w:left w:val="single" w:sz="8" w:color="808285"/>
              <w:right w:val="single" w:sz="8" w:color="808285"/>
            </w:tcBorders>
            <w:shd w:val="clear" w:color="auto" w:fill="CCEEFF"/>
          </w:tcPr>
          <w:p>
            <w:pPr>
              <w:spacing w:after="0"/>
              <w:rPr>
                <w:sz w:val="17"/>
                <w:szCs w:val="17"/>
                <w:color w:val="auto"/>
              </w:rPr>
            </w:pPr>
          </w:p>
        </w:tc>
        <w:tc>
          <w:tcPr>
            <w:tcW w:w="1400" w:type="dxa"/>
            <w:vAlign w:val="bottom"/>
            <w:tcBorders>
              <w:right w:val="single" w:sz="8" w:color="808285"/>
            </w:tcBorders>
            <w:shd w:val="clear" w:color="auto" w:fill="CCEEFF"/>
          </w:tcPr>
          <w:p>
            <w:pPr>
              <w:spacing w:after="0"/>
              <w:rPr>
                <w:sz w:val="17"/>
                <w:szCs w:val="17"/>
                <w:color w:val="auto"/>
              </w:rPr>
            </w:pPr>
          </w:p>
        </w:tc>
        <w:tc>
          <w:tcPr>
            <w:tcW w:w="1420" w:type="dxa"/>
            <w:vAlign w:val="bottom"/>
            <w:tcBorders>
              <w:right w:val="single" w:sz="8" w:color="808285"/>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8"/>
              </w:rPr>
              <w:t>Award</w:t>
            </w:r>
          </w:p>
        </w:tc>
        <w:tc>
          <w:tcPr>
            <w:tcW w:w="200" w:type="dxa"/>
            <w:vAlign w:val="bottom"/>
            <w:shd w:val="clear" w:color="auto" w:fill="CCEEFF"/>
          </w:tcPr>
          <w:p>
            <w:pPr>
              <w:spacing w:after="0"/>
              <w:rPr>
                <w:sz w:val="17"/>
                <w:szCs w:val="17"/>
                <w:color w:val="auto"/>
              </w:rPr>
            </w:pPr>
          </w:p>
        </w:tc>
        <w:tc>
          <w:tcPr>
            <w:tcW w:w="1220" w:type="dxa"/>
            <w:vAlign w:val="bottom"/>
            <w:tcBorders>
              <w:right w:val="single" w:sz="8" w:color="808285"/>
            </w:tcBorders>
            <w:shd w:val="clear" w:color="auto" w:fill="CCEEFF"/>
          </w:tcPr>
          <w:p>
            <w:pPr>
              <w:jc w:val="center"/>
              <w:ind w:right="15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w:t>
            </w:r>
          </w:p>
        </w:tc>
        <w:tc>
          <w:tcPr>
            <w:tcW w:w="240" w:type="dxa"/>
            <w:vAlign w:val="bottom"/>
            <w:shd w:val="clear" w:color="auto" w:fill="CCEEFF"/>
          </w:tcPr>
          <w:p>
            <w:pPr>
              <w:spacing w:after="0"/>
              <w:rPr>
                <w:sz w:val="17"/>
                <w:szCs w:val="17"/>
                <w:color w:val="auto"/>
              </w:rPr>
            </w:pPr>
          </w:p>
        </w:tc>
        <w:tc>
          <w:tcPr>
            <w:tcW w:w="1860" w:type="dxa"/>
            <w:vAlign w:val="bottom"/>
            <w:tcBorders>
              <w:right w:val="single" w:sz="8" w:color="808285"/>
            </w:tcBorders>
            <w:shd w:val="clear" w:color="auto" w:fill="CCEEFF"/>
          </w:tcPr>
          <w:p>
            <w:pPr>
              <w:spacing w:after="0"/>
              <w:rPr>
                <w:sz w:val="17"/>
                <w:szCs w:val="17"/>
                <w:color w:val="auto"/>
              </w:rPr>
            </w:pPr>
          </w:p>
        </w:tc>
        <w:tc>
          <w:tcPr>
            <w:tcW w:w="3480" w:type="dxa"/>
            <w:vAlign w:val="bottom"/>
            <w:tcBorders>
              <w:right w:val="single" w:sz="8" w:color="808285"/>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Immediately Prior to the Disclosure of</w:t>
            </w:r>
          </w:p>
        </w:tc>
        <w:tc>
          <w:tcPr>
            <w:tcW w:w="20" w:type="dxa"/>
            <w:vAlign w:val="bottom"/>
          </w:tcPr>
          <w:p>
            <w:pPr>
              <w:spacing w:after="0"/>
              <w:rPr>
                <w:sz w:val="17"/>
                <w:szCs w:val="17"/>
                <w:color w:val="auto"/>
              </w:rPr>
            </w:pPr>
          </w:p>
        </w:tc>
      </w:tr>
      <w:tr>
        <w:trPr>
          <w:trHeight w:val="216"/>
        </w:trPr>
        <w:tc>
          <w:tcPr>
            <w:tcW w:w="1400" w:type="dxa"/>
            <w:vAlign w:val="bottom"/>
            <w:tcBorders>
              <w:left w:val="single" w:sz="8" w:color="808285"/>
              <w:right w:val="single" w:sz="8" w:color="808285"/>
            </w:tcBorders>
            <w:shd w:val="clear" w:color="auto" w:fill="CCEEFF"/>
          </w:tcPr>
          <w:p>
            <w:pPr>
              <w:spacing w:after="0"/>
              <w:rPr>
                <w:sz w:val="18"/>
                <w:szCs w:val="18"/>
                <w:color w:val="auto"/>
              </w:rPr>
            </w:pPr>
          </w:p>
        </w:tc>
        <w:tc>
          <w:tcPr>
            <w:tcW w:w="1400" w:type="dxa"/>
            <w:vAlign w:val="bottom"/>
            <w:tcBorders>
              <w:right w:val="single" w:sz="8" w:color="808285"/>
            </w:tcBorders>
            <w:shd w:val="clear" w:color="auto" w:fill="CCEEFF"/>
          </w:tcPr>
          <w:p>
            <w:pPr>
              <w:spacing w:after="0"/>
              <w:rPr>
                <w:sz w:val="18"/>
                <w:szCs w:val="18"/>
                <w:color w:val="auto"/>
              </w:rPr>
            </w:pPr>
          </w:p>
        </w:tc>
        <w:tc>
          <w:tcPr>
            <w:tcW w:w="1420" w:type="dxa"/>
            <w:vAlign w:val="bottom"/>
            <w:tcBorders>
              <w:right w:val="single" w:sz="8" w:color="808285"/>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0" w:type="dxa"/>
            <w:vAlign w:val="bottom"/>
            <w:shd w:val="clear" w:color="auto" w:fill="CCEEFF"/>
          </w:tcPr>
          <w:p>
            <w:pPr>
              <w:spacing w:after="0"/>
              <w:rPr>
                <w:sz w:val="18"/>
                <w:szCs w:val="18"/>
                <w:color w:val="auto"/>
              </w:rPr>
            </w:pPr>
          </w:p>
        </w:tc>
        <w:tc>
          <w:tcPr>
            <w:tcW w:w="1220" w:type="dxa"/>
            <w:vAlign w:val="bottom"/>
            <w:tcBorders>
              <w:right w:val="single" w:sz="8" w:color="808285"/>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60" w:type="dxa"/>
            <w:vAlign w:val="bottom"/>
            <w:tcBorders>
              <w:right w:val="single" w:sz="8" w:color="808285"/>
            </w:tcBorders>
            <w:shd w:val="clear" w:color="auto" w:fill="CCEEFF"/>
          </w:tcPr>
          <w:p>
            <w:pPr>
              <w:spacing w:after="0"/>
              <w:rPr>
                <w:sz w:val="18"/>
                <w:szCs w:val="18"/>
                <w:color w:val="auto"/>
              </w:rPr>
            </w:pPr>
          </w:p>
        </w:tc>
        <w:tc>
          <w:tcPr>
            <w:tcW w:w="3480" w:type="dxa"/>
            <w:vAlign w:val="bottom"/>
            <w:tcBorders>
              <w:right w:val="single" w:sz="8" w:color="808285"/>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Material Nonpublic Information and the</w:t>
            </w:r>
          </w:p>
        </w:tc>
        <w:tc>
          <w:tcPr>
            <w:tcW w:w="20" w:type="dxa"/>
            <w:vAlign w:val="bottom"/>
          </w:tcPr>
          <w:p>
            <w:pPr>
              <w:spacing w:after="0"/>
              <w:rPr>
                <w:sz w:val="18"/>
                <w:szCs w:val="18"/>
                <w:color w:val="auto"/>
              </w:rPr>
            </w:pPr>
          </w:p>
        </w:tc>
      </w:tr>
      <w:tr>
        <w:trPr>
          <w:trHeight w:val="203"/>
        </w:trPr>
        <w:tc>
          <w:tcPr>
            <w:tcW w:w="1400" w:type="dxa"/>
            <w:vAlign w:val="bottom"/>
            <w:tcBorders>
              <w:left w:val="single" w:sz="8" w:color="808285"/>
              <w:right w:val="single" w:sz="8" w:color="808285"/>
            </w:tcBorders>
            <w:shd w:val="clear" w:color="auto" w:fill="CCEEFF"/>
          </w:tcPr>
          <w:p>
            <w:pPr>
              <w:spacing w:after="0"/>
              <w:rPr>
                <w:sz w:val="17"/>
                <w:szCs w:val="17"/>
                <w:color w:val="auto"/>
              </w:rPr>
            </w:pPr>
          </w:p>
        </w:tc>
        <w:tc>
          <w:tcPr>
            <w:tcW w:w="1400" w:type="dxa"/>
            <w:vAlign w:val="bottom"/>
            <w:tcBorders>
              <w:right w:val="single" w:sz="8" w:color="808285"/>
            </w:tcBorders>
            <w:shd w:val="clear" w:color="auto" w:fill="CCEEFF"/>
          </w:tcPr>
          <w:p>
            <w:pPr>
              <w:spacing w:after="0"/>
              <w:rPr>
                <w:sz w:val="17"/>
                <w:szCs w:val="17"/>
                <w:color w:val="auto"/>
              </w:rPr>
            </w:pPr>
          </w:p>
        </w:tc>
        <w:tc>
          <w:tcPr>
            <w:tcW w:w="1420" w:type="dxa"/>
            <w:vAlign w:val="bottom"/>
            <w:tcBorders>
              <w:right w:val="single" w:sz="8" w:color="808285"/>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tcBorders>
              <w:right w:val="single" w:sz="8" w:color="808285"/>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tcBorders>
              <w:right w:val="single" w:sz="8" w:color="808285"/>
            </w:tcBorders>
            <w:shd w:val="clear" w:color="auto" w:fill="CCEEFF"/>
          </w:tcPr>
          <w:p>
            <w:pPr>
              <w:spacing w:after="0"/>
              <w:rPr>
                <w:sz w:val="17"/>
                <w:szCs w:val="17"/>
                <w:color w:val="auto"/>
              </w:rPr>
            </w:pPr>
          </w:p>
        </w:tc>
        <w:tc>
          <w:tcPr>
            <w:tcW w:w="3480" w:type="dxa"/>
            <w:vAlign w:val="bottom"/>
            <w:tcBorders>
              <w:right w:val="single" w:sz="8" w:color="808285"/>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Trading Day beginning Immediately</w:t>
            </w:r>
          </w:p>
        </w:tc>
        <w:tc>
          <w:tcPr>
            <w:tcW w:w="20" w:type="dxa"/>
            <w:vAlign w:val="bottom"/>
          </w:tcPr>
          <w:p>
            <w:pPr>
              <w:spacing w:after="0"/>
              <w:rPr>
                <w:sz w:val="17"/>
                <w:szCs w:val="17"/>
                <w:color w:val="auto"/>
              </w:rPr>
            </w:pPr>
          </w:p>
        </w:tc>
      </w:tr>
      <w:tr>
        <w:trPr>
          <w:trHeight w:val="203"/>
        </w:trPr>
        <w:tc>
          <w:tcPr>
            <w:tcW w:w="1400" w:type="dxa"/>
            <w:vAlign w:val="bottom"/>
            <w:tcBorders>
              <w:left w:val="single" w:sz="8" w:color="808285"/>
              <w:right w:val="single" w:sz="8" w:color="808285"/>
            </w:tcBorders>
            <w:shd w:val="clear" w:color="auto" w:fill="CCEEFF"/>
          </w:tcPr>
          <w:p>
            <w:pPr>
              <w:spacing w:after="0"/>
              <w:rPr>
                <w:sz w:val="17"/>
                <w:szCs w:val="17"/>
                <w:color w:val="auto"/>
              </w:rPr>
            </w:pPr>
          </w:p>
        </w:tc>
        <w:tc>
          <w:tcPr>
            <w:tcW w:w="1400" w:type="dxa"/>
            <w:vAlign w:val="bottom"/>
            <w:tcBorders>
              <w:right w:val="single" w:sz="8" w:color="808285"/>
            </w:tcBorders>
            <w:shd w:val="clear" w:color="auto" w:fill="CCEEFF"/>
          </w:tcPr>
          <w:p>
            <w:pPr>
              <w:spacing w:after="0"/>
              <w:rPr>
                <w:sz w:val="17"/>
                <w:szCs w:val="17"/>
                <w:color w:val="auto"/>
              </w:rPr>
            </w:pPr>
          </w:p>
        </w:tc>
        <w:tc>
          <w:tcPr>
            <w:tcW w:w="1420" w:type="dxa"/>
            <w:vAlign w:val="bottom"/>
            <w:tcBorders>
              <w:right w:val="single" w:sz="8" w:color="808285"/>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tcBorders>
              <w:right w:val="single" w:sz="8" w:color="808285"/>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60" w:type="dxa"/>
            <w:vAlign w:val="bottom"/>
            <w:tcBorders>
              <w:right w:val="single" w:sz="8" w:color="808285"/>
            </w:tcBorders>
            <w:shd w:val="clear" w:color="auto" w:fill="CCEEFF"/>
          </w:tcPr>
          <w:p>
            <w:pPr>
              <w:spacing w:after="0"/>
              <w:rPr>
                <w:sz w:val="17"/>
                <w:szCs w:val="17"/>
                <w:color w:val="auto"/>
              </w:rPr>
            </w:pPr>
          </w:p>
        </w:tc>
        <w:tc>
          <w:tcPr>
            <w:tcW w:w="3480" w:type="dxa"/>
            <w:vAlign w:val="bottom"/>
            <w:tcBorders>
              <w:right w:val="single" w:sz="8" w:color="808285"/>
            </w:tcBorders>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Following the Disclosure of Material</w:t>
            </w:r>
          </w:p>
        </w:tc>
        <w:tc>
          <w:tcPr>
            <w:tcW w:w="20" w:type="dxa"/>
            <w:vAlign w:val="bottom"/>
          </w:tcPr>
          <w:p>
            <w:pPr>
              <w:spacing w:after="0"/>
              <w:rPr>
                <w:sz w:val="17"/>
                <w:szCs w:val="17"/>
                <w:color w:val="auto"/>
              </w:rPr>
            </w:pPr>
          </w:p>
        </w:tc>
      </w:tr>
      <w:tr>
        <w:trPr>
          <w:trHeight w:val="270"/>
        </w:trPr>
        <w:tc>
          <w:tcPr>
            <w:tcW w:w="1400" w:type="dxa"/>
            <w:vAlign w:val="bottom"/>
            <w:tcBorders>
              <w:left w:val="single" w:sz="8" w:color="808285"/>
              <w:bottom w:val="single" w:sz="8" w:color="CCEEFF"/>
              <w:right w:val="single" w:sz="8" w:color="808285"/>
            </w:tcBorders>
            <w:shd w:val="clear" w:color="auto" w:fill="CCEEFF"/>
          </w:tcPr>
          <w:p>
            <w:pPr>
              <w:spacing w:after="0"/>
              <w:rPr>
                <w:sz w:val="23"/>
                <w:szCs w:val="23"/>
                <w:color w:val="auto"/>
              </w:rPr>
            </w:pPr>
          </w:p>
        </w:tc>
        <w:tc>
          <w:tcPr>
            <w:tcW w:w="1400" w:type="dxa"/>
            <w:vAlign w:val="bottom"/>
            <w:tcBorders>
              <w:bottom w:val="single" w:sz="8" w:color="CCEEFF"/>
              <w:right w:val="single" w:sz="8" w:color="808285"/>
            </w:tcBorders>
            <w:shd w:val="clear" w:color="auto" w:fill="CCEEFF"/>
          </w:tcPr>
          <w:p>
            <w:pPr>
              <w:spacing w:after="0"/>
              <w:rPr>
                <w:sz w:val="23"/>
                <w:szCs w:val="23"/>
                <w:color w:val="auto"/>
              </w:rPr>
            </w:pPr>
          </w:p>
        </w:tc>
        <w:tc>
          <w:tcPr>
            <w:tcW w:w="1420" w:type="dxa"/>
            <w:vAlign w:val="bottom"/>
            <w:tcBorders>
              <w:bottom w:val="single" w:sz="8" w:color="CCEEFF"/>
              <w:right w:val="single" w:sz="8" w:color="808285"/>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right w:val="single" w:sz="8" w:color="808285"/>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right w:val="single" w:sz="8" w:color="808285"/>
            </w:tcBorders>
            <w:shd w:val="clear" w:color="auto" w:fill="CCEEFF"/>
          </w:tcPr>
          <w:p>
            <w:pPr>
              <w:spacing w:after="0"/>
              <w:rPr>
                <w:sz w:val="23"/>
                <w:szCs w:val="23"/>
                <w:color w:val="auto"/>
              </w:rPr>
            </w:pPr>
          </w:p>
        </w:tc>
        <w:tc>
          <w:tcPr>
            <w:tcW w:w="3480" w:type="dxa"/>
            <w:vAlign w:val="bottom"/>
            <w:tcBorders>
              <w:bottom w:val="single" w:sz="8" w:color="CCEEFF"/>
              <w:right w:val="single" w:sz="8" w:color="808285"/>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Nonpublic Information (%) (f)</w:t>
            </w:r>
          </w:p>
        </w:tc>
        <w:tc>
          <w:tcPr>
            <w:tcW w:w="20" w:type="dxa"/>
            <w:vAlign w:val="bottom"/>
          </w:tcPr>
          <w:p>
            <w:pPr>
              <w:spacing w:after="0"/>
              <w:rPr>
                <w:sz w:val="23"/>
                <w:szCs w:val="23"/>
                <w:color w:val="auto"/>
              </w:rPr>
            </w:pPr>
          </w:p>
        </w:tc>
      </w:tr>
      <w:tr>
        <w:trPr>
          <w:trHeight w:val="243"/>
        </w:trPr>
        <w:tc>
          <w:tcPr>
            <w:tcW w:w="1400" w:type="dxa"/>
            <w:vAlign w:val="bottom"/>
            <w:tcBorders>
              <w:top w:val="single" w:sz="8" w:color="808285"/>
              <w:left w:val="single" w:sz="8" w:color="808285"/>
              <w:bottom w:val="single" w:sz="8" w:color="808285"/>
              <w:right w:val="single" w:sz="8" w:color="808285"/>
            </w:tcBorders>
          </w:tcPr>
          <w:p>
            <w:pPr>
              <w:ind w:left="40"/>
              <w:spacing w:after="0"/>
              <w:rPr>
                <w:sz w:val="20"/>
                <w:szCs w:val="20"/>
                <w:color w:val="auto"/>
              </w:rPr>
            </w:pPr>
            <w:r>
              <w:rPr>
                <w:rFonts w:ascii="Times New Roman" w:cs="Times New Roman" w:eastAsia="Times New Roman" w:hAnsi="Times New Roman"/>
                <w:sz w:val="18"/>
                <w:szCs w:val="18"/>
                <w:color w:val="auto"/>
              </w:rPr>
              <w:t>Eric Risser</w:t>
            </w:r>
          </w:p>
        </w:tc>
        <w:tc>
          <w:tcPr>
            <w:tcW w:w="1400" w:type="dxa"/>
            <w:vAlign w:val="bottom"/>
            <w:tcBorders>
              <w:top w:val="single" w:sz="8" w:color="808285"/>
              <w:bottom w:val="single" w:sz="8" w:color="808285"/>
              <w:right w:val="single" w:sz="8" w:color="808285"/>
            </w:tcBorders>
          </w:tcPr>
          <w:p>
            <w:pPr>
              <w:jc w:val="center"/>
              <w:ind w:left="530"/>
              <w:spacing w:after="0"/>
              <w:rPr>
                <w:sz w:val="20"/>
                <w:szCs w:val="20"/>
                <w:color w:val="auto"/>
              </w:rPr>
            </w:pPr>
            <w:r>
              <w:rPr>
                <w:rFonts w:ascii="Times New Roman" w:cs="Times New Roman" w:eastAsia="Times New Roman" w:hAnsi="Times New Roman"/>
                <w:sz w:val="18"/>
                <w:szCs w:val="18"/>
                <w:color w:val="auto"/>
              </w:rPr>
              <w:t>8/13/2025</w:t>
            </w:r>
          </w:p>
        </w:tc>
        <w:tc>
          <w:tcPr>
            <w:tcW w:w="1420" w:type="dxa"/>
            <w:vAlign w:val="bottom"/>
            <w:tcBorders>
              <w:top w:val="single" w:sz="8" w:color="808285"/>
              <w:bottom w:val="single" w:sz="8" w:color="808285"/>
              <w:right w:val="single" w:sz="8" w:color="808285"/>
            </w:tcBorders>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200" w:type="dxa"/>
            <w:vAlign w:val="bottom"/>
            <w:tcBorders>
              <w:top w:val="single" w:sz="8" w:color="808285"/>
              <w:bottom w:val="single" w:sz="8" w:color="808285"/>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808285"/>
              <w:bottom w:val="single" w:sz="8" w:color="808285"/>
              <w:right w:val="single" w:sz="8" w:color="808285"/>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Borders>
              <w:top w:val="single" w:sz="8" w:color="808285"/>
              <w:bottom w:val="single" w:sz="8" w:color="808285"/>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808285"/>
              <w:bottom w:val="single" w:sz="8" w:color="808285"/>
              <w:right w:val="single" w:sz="8" w:color="808285"/>
            </w:tcBorders>
          </w:tcPr>
          <w:p>
            <w:pPr>
              <w:jc w:val="right"/>
              <w:spacing w:after="0"/>
              <w:rPr>
                <w:sz w:val="20"/>
                <w:szCs w:val="20"/>
                <w:color w:val="auto"/>
              </w:rPr>
            </w:pPr>
            <w:r>
              <w:rPr>
                <w:rFonts w:ascii="Times New Roman" w:cs="Times New Roman" w:eastAsia="Times New Roman" w:hAnsi="Times New Roman"/>
                <w:sz w:val="18"/>
                <w:szCs w:val="18"/>
                <w:color w:val="auto"/>
              </w:rPr>
              <w:t>913,000</w:t>
            </w:r>
          </w:p>
        </w:tc>
        <w:tc>
          <w:tcPr>
            <w:tcW w:w="3480" w:type="dxa"/>
            <w:vAlign w:val="bottom"/>
            <w:tcBorders>
              <w:top w:val="single" w:sz="8" w:color="808285"/>
              <w:bottom w:val="single" w:sz="8" w:color="808285"/>
              <w:right w:val="single" w:sz="8" w:color="808285"/>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1"/>
                <w:szCs w:val="21"/>
                <w:color w:val="auto"/>
              </w:rPr>
            </w:pPr>
          </w:p>
        </w:tc>
      </w:tr>
      <w:tr>
        <w:trPr>
          <w:trHeight w:val="743"/>
        </w:trPr>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46</w:t>
            </w:r>
          </w:p>
        </w:tc>
        <w:tc>
          <w:tcPr>
            <w:tcW w:w="18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40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34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-736600</wp:posOffset>
            </wp:positionV>
            <wp:extent cx="260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ectPr>
          <w:pgSz w:w="11900" w:h="16838" w:orient="portrait"/>
          <w:cols w:equalWidth="0" w:num="1">
            <w:col w:w="11240"/>
          </w:cols>
          <w:pgMar w:left="320" w:top="795" w:right="339" w:bottom="1440" w:gutter="0" w:footer="0" w:header="0"/>
        </w:sectPr>
      </w:pPr>
    </w:p>
    <w:bookmarkStart w:id="53" w:name="page54"/>
    <w:bookmarkEnd w:id="53"/>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INFORMATION ABOUT EQUITY COMPENSATION PLANS</w:t>
      </w:r>
    </w:p>
    <w:p>
      <w:pPr>
        <w:spacing w:after="0" w:line="229" w:lineRule="exact"/>
        <w:rPr>
          <w:sz w:val="20"/>
          <w:szCs w:val="20"/>
          <w:color w:val="auto"/>
        </w:rPr>
      </w:pPr>
    </w:p>
    <w:p>
      <w:pPr>
        <w:ind w:left="412"/>
        <w:spacing w:after="0"/>
        <w:rPr>
          <w:sz w:val="20"/>
          <w:szCs w:val="20"/>
          <w:color w:val="auto"/>
        </w:rPr>
      </w:pPr>
      <w:r>
        <w:rPr>
          <w:rFonts w:ascii="Times New Roman" w:cs="Times New Roman" w:eastAsia="Times New Roman" w:hAnsi="Times New Roman"/>
          <w:sz w:val="17"/>
          <w:szCs w:val="17"/>
          <w:color w:val="auto"/>
        </w:rPr>
        <w:t>The following table provides certain information as of December 31, 2025, with respect to all of our equity compensation plans in effect on that date.</w:t>
      </w:r>
    </w:p>
    <w:p>
      <w:pPr>
        <w:spacing w:after="0" w:line="44" w:lineRule="exact"/>
        <w:rPr>
          <w:sz w:val="20"/>
          <w:szCs w:val="20"/>
          <w:color w:val="auto"/>
        </w:rPr>
      </w:pPr>
    </w:p>
    <w:tbl>
      <w:tblPr>
        <w:tblLayout w:type="fixed"/>
        <w:tblInd w:w="12"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 Securities</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Securities to be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Weighted-Average</w:t>
            </w:r>
          </w:p>
        </w:tc>
        <w:tc>
          <w:tcPr>
            <w:tcW w:w="2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 Available</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Issued Upon</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for Future Issuance Under</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Exercise of</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of</w:t>
            </w:r>
          </w:p>
        </w:tc>
        <w:tc>
          <w:tcPr>
            <w:tcW w:w="2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Equity Compensation Plans</w:t>
            </w:r>
          </w:p>
        </w:tc>
        <w:tc>
          <w:tcPr>
            <w:tcW w:w="0" w:type="dxa"/>
            <w:vAlign w:val="bottom"/>
          </w:tcPr>
          <w:p>
            <w:pPr>
              <w:spacing w:after="0"/>
              <w:rPr>
                <w:sz w:val="1"/>
                <w:szCs w:val="1"/>
                <w:color w:val="auto"/>
              </w:rPr>
            </w:pPr>
          </w:p>
        </w:tc>
      </w:tr>
      <w:tr>
        <w:trPr>
          <w:trHeight w:val="162"/>
        </w:trPr>
        <w:tc>
          <w:tcPr>
            <w:tcW w:w="3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260" w:type="dxa"/>
            <w:vAlign w:val="bottom"/>
            <w:vMerge w:val="restart"/>
          </w:tcPr>
          <w:p>
            <w:pPr>
              <w:spacing w:after="0"/>
              <w:rPr>
                <w:sz w:val="14"/>
                <w:szCs w:val="14"/>
                <w:color w:val="auto"/>
              </w:rPr>
            </w:pPr>
          </w:p>
        </w:tc>
        <w:tc>
          <w:tcPr>
            <w:tcW w:w="2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Outstanding Options,</w:t>
            </w:r>
          </w:p>
        </w:tc>
        <w:tc>
          <w:tcPr>
            <w:tcW w:w="258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(Excluding Securities</w:t>
            </w:r>
          </w:p>
        </w:tc>
        <w:tc>
          <w:tcPr>
            <w:tcW w:w="0" w:type="dxa"/>
            <w:vAlign w:val="bottom"/>
          </w:tcPr>
          <w:p>
            <w:pPr>
              <w:spacing w:after="0"/>
              <w:rPr>
                <w:sz w:val="1"/>
                <w:szCs w:val="1"/>
                <w:color w:val="auto"/>
              </w:rPr>
            </w:pPr>
          </w:p>
        </w:tc>
      </w:tr>
      <w:tr>
        <w:trPr>
          <w:trHeight w:val="214"/>
        </w:trPr>
        <w:tc>
          <w:tcPr>
            <w:tcW w:w="33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CCEEFF"/>
            </w:tcBorders>
            <w:vMerge w:val="continue"/>
          </w:tcPr>
          <w:p>
            <w:pPr>
              <w:spacing w:after="0"/>
              <w:rPr>
                <w:sz w:val="18"/>
                <w:szCs w:val="18"/>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 and Rights (a)</w:t>
            </w: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Warrants and Rights (b)</w:t>
            </w:r>
          </w:p>
        </w:tc>
        <w:tc>
          <w:tcPr>
            <w:tcW w:w="160" w:type="dxa"/>
            <w:vAlign w:val="bottom"/>
            <w:tcBorders>
              <w:bottom w:val="single" w:sz="8" w:color="CCEEFF"/>
            </w:tcBorders>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Reflected in Column (a)) (c)</w:t>
            </w:r>
          </w:p>
        </w:tc>
        <w:tc>
          <w:tcPr>
            <w:tcW w:w="0" w:type="dxa"/>
            <w:vAlign w:val="bottom"/>
          </w:tcPr>
          <w:p>
            <w:pPr>
              <w:spacing w:after="0"/>
              <w:rPr>
                <w:sz w:val="1"/>
                <w:szCs w:val="1"/>
                <w:color w:val="auto"/>
              </w:rPr>
            </w:pPr>
          </w:p>
        </w:tc>
      </w:tr>
      <w:tr>
        <w:trPr>
          <w:trHeight w:val="157"/>
        </w:trPr>
        <w:tc>
          <w:tcPr>
            <w:tcW w:w="3300" w:type="dxa"/>
            <w:vAlign w:val="bottom"/>
            <w:shd w:val="clear" w:color="auto" w:fill="CCEEFF"/>
          </w:tcPr>
          <w:p>
            <w:pPr>
              <w:ind w:left="60"/>
              <w:spacing w:after="0" w:line="158" w:lineRule="exact"/>
              <w:rPr>
                <w:sz w:val="20"/>
                <w:szCs w:val="20"/>
                <w:color w:val="auto"/>
              </w:rPr>
            </w:pPr>
            <w:r>
              <w:rPr>
                <w:rFonts w:ascii="Times New Roman" w:cs="Times New Roman" w:eastAsia="Times New Roman" w:hAnsi="Times New Roman"/>
                <w:sz w:val="16"/>
                <w:szCs w:val="16"/>
                <w:color w:val="auto"/>
              </w:rPr>
              <w:t>Equity Compensation</w:t>
            </w:r>
          </w:p>
        </w:tc>
        <w:tc>
          <w:tcPr>
            <w:tcW w:w="260" w:type="dxa"/>
            <w:vAlign w:val="bottom"/>
            <w:shd w:val="clear" w:color="auto" w:fill="CCEEFF"/>
          </w:tcPr>
          <w:p>
            <w:pPr>
              <w:spacing w:after="0"/>
              <w:rPr>
                <w:sz w:val="13"/>
                <w:szCs w:val="13"/>
                <w:color w:val="auto"/>
              </w:rPr>
            </w:pPr>
          </w:p>
        </w:tc>
        <w:tc>
          <w:tcPr>
            <w:tcW w:w="206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14,851,944</w:t>
            </w:r>
          </w:p>
        </w:tc>
        <w:tc>
          <w:tcPr>
            <w:tcW w:w="4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9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11.72</w:t>
            </w:r>
          </w:p>
        </w:tc>
        <w:tc>
          <w:tcPr>
            <w:tcW w:w="160" w:type="dxa"/>
            <w:vAlign w:val="bottom"/>
            <w:shd w:val="clear" w:color="auto" w:fill="CCEEFF"/>
          </w:tcPr>
          <w:p>
            <w:pPr>
              <w:spacing w:after="0"/>
              <w:rPr>
                <w:sz w:val="13"/>
                <w:szCs w:val="13"/>
                <w:color w:val="auto"/>
              </w:rPr>
            </w:pPr>
          </w:p>
        </w:tc>
        <w:tc>
          <w:tcPr>
            <w:tcW w:w="2580" w:type="dxa"/>
            <w:vAlign w:val="bottom"/>
            <w:vMerge w:val="restart"/>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5,751,079</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Plans Approved by Stockholders (1)(2)</w:t>
            </w:r>
          </w:p>
        </w:tc>
        <w:tc>
          <w:tcPr>
            <w:tcW w:w="2060" w:type="dxa"/>
            <w:vAlign w:val="bottom"/>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98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60" w:type="dxa"/>
            <w:vAlign w:val="bottom"/>
            <w:gridSpan w:val="2"/>
          </w:tcPr>
          <w:p>
            <w:pPr>
              <w:ind w:left="60"/>
              <w:spacing w:after="0" w:line="162" w:lineRule="exact"/>
              <w:rPr>
                <w:sz w:val="20"/>
                <w:szCs w:val="20"/>
                <w:color w:val="auto"/>
              </w:rPr>
            </w:pPr>
            <w:r>
              <w:rPr>
                <w:rFonts w:ascii="Times New Roman" w:cs="Times New Roman" w:eastAsia="Times New Roman" w:hAnsi="Times New Roman"/>
                <w:sz w:val="16"/>
                <w:szCs w:val="16"/>
                <w:color w:val="auto"/>
              </w:rPr>
              <w:t>Equity Compensation</w:t>
            </w:r>
          </w:p>
        </w:tc>
        <w:tc>
          <w:tcPr>
            <w:tcW w:w="20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58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Plans Not Approved by Stockholders</w:t>
            </w:r>
          </w:p>
        </w:tc>
        <w:tc>
          <w:tcPr>
            <w:tcW w:w="206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140" w:type="dxa"/>
            <w:vAlign w:val="bottom"/>
            <w:tcBorders>
              <w:bottom w:val="single" w:sz="8" w:color="CCEEFF"/>
            </w:tcBorders>
            <w:gridSpan w:val="2"/>
            <w:vMerge w:val="continue"/>
          </w:tcPr>
          <w:p>
            <w:pPr>
              <w:spacing w:after="0"/>
              <w:rPr>
                <w:sz w:val="18"/>
                <w:szCs w:val="18"/>
                <w:color w:val="auto"/>
              </w:rPr>
            </w:pPr>
          </w:p>
        </w:tc>
        <w:tc>
          <w:tcPr>
            <w:tcW w:w="2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5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Total</w:t>
            </w:r>
          </w:p>
        </w:tc>
        <w:tc>
          <w:tcPr>
            <w:tcW w:w="20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14,851,944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5,751,079</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392" w:hanging="392"/>
        <w:spacing w:after="0"/>
        <w:tabs>
          <w:tab w:leader="none" w:pos="392"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securities issuable under the 2023 Plan, the 2013 Plan and the 2016 Employee Stock Purchase Plan (2016 ESPP).</w:t>
      </w:r>
    </w:p>
    <w:p>
      <w:pPr>
        <w:spacing w:after="0" w:line="63" w:lineRule="exact"/>
        <w:rPr>
          <w:rFonts w:ascii="Times New Roman" w:cs="Times New Roman" w:eastAsia="Times New Roman" w:hAnsi="Times New Roman"/>
          <w:sz w:val="18"/>
          <w:szCs w:val="18"/>
          <w:color w:val="auto"/>
        </w:rPr>
      </w:pPr>
    </w:p>
    <w:p>
      <w:pPr>
        <w:ind w:left="412" w:right="340" w:hanging="412"/>
        <w:spacing w:after="0" w:line="282" w:lineRule="auto"/>
        <w:tabs>
          <w:tab w:leader="none" w:pos="39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5,550,520 shares of common stock available for issuance under our 2023 Plan and (ii) 200,559 shares of common stock available for issuance under our 2016 ESPP.</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68" w:top="765" w:right="379" w:bottom="1440" w:gutter="0" w:footer="0" w:header="0"/>
        </w:sectPr>
      </w:pPr>
    </w:p>
    <w:bookmarkStart w:id="54" w:name="page55"/>
    <w:bookmarkEnd w:id="54"/>
    <w:p>
      <w:pPr>
        <w:ind w:left="208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as to the beneficial ownership of our common stock as of March 27, 2026 for:</w:t>
      </w:r>
    </w:p>
    <w:p>
      <w:pPr>
        <w:spacing w:after="0" w:line="117" w:lineRule="exact"/>
        <w:rPr>
          <w:sz w:val="20"/>
          <w:szCs w:val="20"/>
          <w:color w:val="auto"/>
        </w:rPr>
      </w:pPr>
    </w:p>
    <w:p>
      <w:pPr>
        <w:ind w:left="820" w:hanging="245"/>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common stock;</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named executive officers;</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820" w:hanging="245"/>
        <w:spacing w:after="0"/>
        <w:tabs>
          <w:tab w:leader="none" w:pos="8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firstLine="445"/>
        <w:spacing w:after="0" w:line="254" w:lineRule="auto"/>
        <w:rPr>
          <w:sz w:val="20"/>
          <w:szCs w:val="20"/>
          <w:color w:val="auto"/>
        </w:rPr>
      </w:pPr>
      <w:r>
        <w:rPr>
          <w:rFonts w:ascii="Times New Roman" w:cs="Times New Roman" w:eastAsia="Times New Roman" w:hAnsi="Times New Roman"/>
          <w:sz w:val="18"/>
          <w:szCs w:val="18"/>
          <w:color w:val="auto"/>
        </w:rPr>
        <w:t>The number of shares beneficially owned and the percentage of shares beneficially owned are based on 63,560,068 shares of common stock outstanding as of March 27, 2026, except as otherwise noted. Unless otherwise indicated in the footnotes to the table, and subject to community property laws where applicable, to the best of our knowledge, the following persons have sole voting and investment control with respect to the shares beneficially owned by them. In accordance with SEC rules, if a person has a right to acquire beneficial ownership of any shares of common stock, on or within 60 days of March 27, 2026, upon exercise of outstanding options, vesting of restricted stock units or otherwise, the shares are deemed beneficially owned by that person and are deemed to be outstanding solely for the purpose of determining the percentage of our shares that person beneficially owns. These shares are not included in the computations of percentage ownership for any other purpose. Except as otherwise indicated, the address of each of the named executive officers and directors in this table is 9704 Medical Center Drive, Rockville, Maryland 20850.</w:t>
      </w:r>
    </w:p>
    <w:p>
      <w:pPr>
        <w:spacing w:after="0" w:line="200" w:lineRule="exact"/>
        <w:rPr>
          <w:sz w:val="20"/>
          <w:szCs w:val="20"/>
          <w:color w:val="auto"/>
        </w:rPr>
      </w:pP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Total Number</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1360" w:type="dxa"/>
            <w:vAlign w:val="bottom"/>
            <w:gridSpan w:val="2"/>
            <w:vMerge w:val="continue"/>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of Shares of</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w:t>
            </w:r>
          </w:p>
        </w:tc>
        <w:tc>
          <w:tcPr>
            <w:tcW w:w="0" w:type="dxa"/>
            <w:vAlign w:val="bottom"/>
          </w:tcPr>
          <w:p>
            <w:pPr>
              <w:spacing w:after="0"/>
              <w:rPr>
                <w:sz w:val="1"/>
                <w:szCs w:val="1"/>
                <w:color w:val="auto"/>
              </w:rPr>
            </w:pPr>
          </w:p>
        </w:tc>
      </w:tr>
      <w:tr>
        <w:trPr>
          <w:trHeight w:val="162"/>
        </w:trPr>
        <w:tc>
          <w:tcPr>
            <w:tcW w:w="4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Name of Beneficial Owner</w:t>
            </w: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Common Stock</w:t>
            </w:r>
          </w:p>
        </w:tc>
        <w:tc>
          <w:tcPr>
            <w:tcW w:w="13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Issuable within</w:t>
            </w:r>
          </w:p>
        </w:tc>
        <w:tc>
          <w:tcPr>
            <w:tcW w:w="13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w w:val="99"/>
              </w:rPr>
              <w:t>Beneficially</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20" w:type="dxa"/>
            <w:vAlign w:val="bottom"/>
            <w:gridSpan w:val="2"/>
            <w:vMerge w:val="continue"/>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w:t>
            </w: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60 Days (2)</w:t>
            </w: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Owned</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Ownership %</w:t>
            </w:r>
          </w:p>
        </w:tc>
        <w:tc>
          <w:tcPr>
            <w:tcW w:w="0" w:type="dxa"/>
            <w:vAlign w:val="bottom"/>
          </w:tcPr>
          <w:p>
            <w:pPr>
              <w:spacing w:after="0"/>
              <w:rPr>
                <w:sz w:val="1"/>
                <w:szCs w:val="1"/>
                <w:color w:val="auto"/>
              </w:rPr>
            </w:pPr>
          </w:p>
        </w:tc>
      </w:tr>
      <w:tr>
        <w:trPr>
          <w:trHeight w:val="225"/>
        </w:trPr>
        <w:tc>
          <w:tcPr>
            <w:tcW w:w="468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Greater than 5% Stockholders</w:t>
            </w: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Armistice Capital, LLC (3)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6,324,000</w:t>
            </w:r>
          </w:p>
        </w:tc>
        <w:tc>
          <w:tcPr>
            <w:tcW w:w="220" w:type="dxa"/>
            <w:vAlign w:val="bottom"/>
          </w:tcPr>
          <w:p>
            <w:pPr>
              <w:spacing w:after="0"/>
              <w:rPr>
                <w:sz w:val="19"/>
                <w:szCs w:val="19"/>
                <w:color w:val="auto"/>
              </w:rPr>
            </w:pPr>
          </w:p>
        </w:tc>
        <w:tc>
          <w:tcPr>
            <w:tcW w:w="136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6,324,000</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Named executive officers and Directors:</w:t>
            </w: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Eric Risser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77,169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825,625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902,794</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Scott Koenig, M.D., Ph.D. (4)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2,402,270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3,864,772</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Ezio Bonvini (5)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153,349</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801,404</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954,753</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James Karrels (6)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206,037</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761,562</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967,599</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Karen Ferrante, M.D.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184,506</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195,506</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William Heiden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208,250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Edward Hurwitz</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44,074</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191,824</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Scott Jackson</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159,250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170,250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Meenu Chhabra Karson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178,717</w:t>
            </w:r>
          </w:p>
        </w:tc>
        <w:tc>
          <w:tcPr>
            <w:tcW w:w="2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189,717</w:t>
            </w:r>
          </w:p>
        </w:tc>
        <w:tc>
          <w:tcPr>
            <w:tcW w:w="2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38"/>
        </w:trPr>
        <w:tc>
          <w:tcPr>
            <w:tcW w:w="4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Margaret A. Liu, M.D.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97,250</w:t>
            </w: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108,250</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Federica O'Brien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213,291</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224,291</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Jay Siegel, M.D.</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194,025</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205,025</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2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David Stump, M.D.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147,750</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158,750</w:t>
            </w:r>
          </w:p>
        </w:tc>
        <w:tc>
          <w:tcPr>
            <w:tcW w:w="22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b w:val="1"/>
                <w:bCs w:val="1"/>
                <w:i w:val="1"/>
                <w:iCs w:val="1"/>
                <w:color w:val="auto"/>
              </w:rPr>
              <w:t>All directors and executive officers as a group (16 persons)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2,242,937</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7,431,003</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9,673,940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20" w:hanging="27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one percent of the outstanding shares of common stock.</w:t>
      </w:r>
    </w:p>
    <w:p>
      <w:pPr>
        <w:spacing w:after="0" w:line="117" w:lineRule="exact"/>
        <w:rPr>
          <w:sz w:val="20"/>
          <w:szCs w:val="20"/>
          <w:color w:val="auto"/>
        </w:rPr>
      </w:pPr>
    </w:p>
    <w:p>
      <w:pPr>
        <w:jc w:val="both"/>
        <w:ind w:left="460" w:right="60" w:hanging="412"/>
        <w:spacing w:after="0" w:line="289" w:lineRule="auto"/>
        <w:tabs>
          <w:tab w:leader="none" w:pos="44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Beneficial ownership is determined in accordance with the rules and regulations of the SEC and includes voting or investment power with respect to shares of our common stock. The information set forth in the table above is not necessarily indicative of beneficial ownership for any other purpose, and the inclusion of any shares deemed beneficially owned in this table does not constitute an admission of beneficial ownership of those shares.</w:t>
      </w:r>
    </w:p>
    <w:p>
      <w:pPr>
        <w:spacing w:after="0" w:line="49" w:lineRule="exact"/>
        <w:rPr>
          <w:rFonts w:ascii="Times New Roman" w:cs="Times New Roman" w:eastAsia="Times New Roman" w:hAnsi="Times New Roman"/>
          <w:sz w:val="17"/>
          <w:szCs w:val="17"/>
          <w:color w:val="auto"/>
        </w:rPr>
      </w:pPr>
    </w:p>
    <w:p>
      <w:pPr>
        <w:ind w:left="460" w:right="300" w:hanging="412"/>
        <w:spacing w:after="0" w:line="282" w:lineRule="auto"/>
        <w:tabs>
          <w:tab w:leader="none" w:pos="44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shares of common stock subject to stock options exercisable as of, or within 60 days of March 27, 2026, and shares of common stock issuable under restricted stock unit awards that vest within 60 days of March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55" w:name="page56"/>
    <w:bookmarkEnd w:id="55"/>
    <w:p>
      <w:pPr>
        <w:ind w:left="460" w:right="100" w:hanging="412"/>
        <w:spacing w:after="0" w:line="266" w:lineRule="auto"/>
        <w:tabs>
          <w:tab w:leader="none" w:pos="4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Armistice Capital, LLC and affiliated persons reported shared voting power and shared dispositive power with respect to 6,324,000 shares of our common stock as of December 31, 2025, in a Schedule 13G/A filed with the SEC on February 17, 2026. The address of Armistice Capital, LLC and its affiliated persons is 510 Madison Ave., 7th Floor, New York, NY 10022.</w:t>
      </w:r>
    </w:p>
    <w:p>
      <w:pPr>
        <w:spacing w:after="0" w:line="67"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867,240 shares of common stock, (ii) 427,480 shares of common stock held by the Koenig 2024 Irrevocable Trust, of which</w:t>
      </w:r>
    </w:p>
    <w:p>
      <w:pPr>
        <w:spacing w:after="0" w:line="27" w:lineRule="exact"/>
        <w:rPr>
          <w:rFonts w:ascii="Times New Roman" w:cs="Times New Roman" w:eastAsia="Times New Roman" w:hAnsi="Times New Roman"/>
          <w:sz w:val="18"/>
          <w:szCs w:val="18"/>
          <w:color w:val="auto"/>
        </w:rPr>
      </w:pPr>
    </w:p>
    <w:p>
      <w:pPr>
        <w:ind w:left="460" w:right="1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Koenig’s spouse is the trustee, and of which Dr. Koenig may be deemed to have shared voting and dispositive power, and (iii) 167,782 shares of common stock held by the Scott Koenig Family Trust, an irrevocable trust, of which Dr. Koenig’s spouse and brother-in-law are co-trustees, and of which Dr. Koenig may be deemed to have shared voting and dispositive power.</w:t>
      </w:r>
    </w:p>
    <w:p>
      <w:pPr>
        <w:spacing w:after="0" w:line="77" w:lineRule="exact"/>
        <w:rPr>
          <w:rFonts w:ascii="Times New Roman" w:cs="Times New Roman" w:eastAsia="Times New Roman" w:hAnsi="Times New Roman"/>
          <w:sz w:val="18"/>
          <w:szCs w:val="18"/>
          <w:color w:val="auto"/>
        </w:rPr>
      </w:pPr>
    </w:p>
    <w:p>
      <w:pPr>
        <w:ind w:left="300" w:hanging="252"/>
        <w:spacing w:after="0"/>
        <w:tabs>
          <w:tab w:leader="none" w:pos="3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145,799 share of common stock and (ii) 7,550 shares of common stock held by the family trust.</w:t>
      </w:r>
    </w:p>
    <w:p>
      <w:pPr>
        <w:spacing w:after="0" w:line="117" w:lineRule="exact"/>
        <w:rPr>
          <w:rFonts w:ascii="Times New Roman" w:cs="Times New Roman" w:eastAsia="Times New Roman" w:hAnsi="Times New Roman"/>
          <w:sz w:val="18"/>
          <w:szCs w:val="18"/>
          <w:color w:val="auto"/>
        </w:rPr>
      </w:pPr>
    </w:p>
    <w:p>
      <w:pPr>
        <w:ind w:left="440" w:hanging="392"/>
        <w:spacing w:after="0"/>
        <w:tabs>
          <w:tab w:leader="none" w:pos="4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206,037 shares of common stock jointly owned by Mr. Karrels and his spouse.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right="320" w:firstLine="445"/>
        <w:spacing w:after="0" w:line="266" w:lineRule="auto"/>
        <w:rPr>
          <w:sz w:val="20"/>
          <w:szCs w:val="20"/>
          <w:color w:val="auto"/>
        </w:rPr>
      </w:pPr>
      <w:r>
        <w:rPr>
          <w:rFonts w:ascii="Times New Roman" w:cs="Times New Roman" w:eastAsia="Times New Roman" w:hAnsi="Times New Roman"/>
          <w:sz w:val="18"/>
          <w:szCs w:val="18"/>
          <w:color w:val="auto"/>
        </w:rPr>
        <w:t>In order to reduce printing costs and postage fees, we mail only one copy of the Notice, which includes instructions on how to access our Annual Report on Form 10-K and proxy statement on the Internet, and the proxy card to any one address, unless we receive contrary instructions from any stockholder at that address (known as “householding”).</w:t>
      </w:r>
    </w:p>
    <w:p>
      <w:pPr>
        <w:spacing w:after="0" w:line="176" w:lineRule="exact"/>
        <w:rPr>
          <w:sz w:val="20"/>
          <w:szCs w:val="20"/>
          <w:color w:val="auto"/>
        </w:rPr>
      </w:pPr>
    </w:p>
    <w:p>
      <w:pPr>
        <w:ind w:right="60" w:firstLine="445"/>
        <w:spacing w:after="0" w:line="258"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the Annual Report on Form 10-K and proxy statement to any stockholder at a shared address to which a single copy of the above mentioned materials was delivered. If you are a stockholder of record, you may contact us by writing c/o the Corporate Secretary at our corporate headquarters located at 9704 Medical Center Drive, Rockville, Maryland 20850, or by calling us at (301) 251-5172. If you are a beneficial but not record owner, you can request additional copies, or you can request householding, by notifying your broker, bank or other nominee.</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firstLine="445"/>
        <w:spacing w:after="0" w:line="312" w:lineRule="auto"/>
        <w:rPr>
          <w:sz w:val="20"/>
          <w:szCs w:val="20"/>
          <w:color w:val="auto"/>
        </w:rPr>
      </w:pPr>
      <w:r>
        <w:rPr>
          <w:rFonts w:ascii="Times New Roman" w:cs="Times New Roman" w:eastAsia="Times New Roman" w:hAnsi="Times New Roman"/>
          <w:sz w:val="17"/>
          <w:szCs w:val="17"/>
          <w:color w:val="auto"/>
        </w:rPr>
        <w:t>We are required to file annual, quarterly and current reports, proxy statements and other information with the SEC. Our SEC filings are available to the public at the SEC’s website at www.sec.gov or in the Financials &amp; Filings section of our website at http://ir.macrogenics.com/financial-information.</w:t>
      </w:r>
    </w:p>
    <w:p>
      <w:pPr>
        <w:spacing w:after="0" w:line="140"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It is important that your shares are represented at the Annual Meeting. Whether or not you plan to attend the Annual Meeting, please vote your shares as described in this proxy statement, so your shares will be represented at the Annual Meeting.</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form of proxy and this proxy statement have been approved by the Board and are being mailed or delivered to stockholders by its authority.</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39"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Jeffrey S. Peters</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i w:val="1"/>
          <w:iCs w:val="1"/>
          <w:color w:val="auto"/>
        </w:rPr>
        <w:t>Corporate Secretary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8, 2026</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Amended text marked in Blackline for</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Approval at the May 19, 2026 Annual Meeting</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MacroGenics, Inc.</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Equity Incentive Plan, As Amended</w:t>
      </w:r>
    </w:p>
    <w:p>
      <w:pPr>
        <w:spacing w:after="0" w:line="200" w:lineRule="exact"/>
        <w:rPr>
          <w:sz w:val="20"/>
          <w:szCs w:val="20"/>
          <w:color w:val="auto"/>
        </w:rPr>
      </w:pPr>
    </w:p>
    <w:p>
      <w:pPr>
        <w:spacing w:after="0" w:line="256" w:lineRule="exact"/>
        <w:rPr>
          <w:sz w:val="20"/>
          <w:szCs w:val="20"/>
          <w:color w:val="auto"/>
        </w:rPr>
      </w:pPr>
    </w:p>
    <w:p>
      <w:pPr>
        <w:ind w:left="380" w:hanging="372"/>
        <w:spacing w:after="0"/>
        <w:tabs>
          <w:tab w:leader="none" w:pos="38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General.</w:t>
      </w:r>
    </w:p>
    <w:p>
      <w:pPr>
        <w:spacing w:after="0" w:line="234" w:lineRule="exact"/>
        <w:rPr>
          <w:rFonts w:ascii="Times New Roman" w:cs="Times New Roman" w:eastAsia="Times New Roman" w:hAnsi="Times New Roman"/>
          <w:sz w:val="22"/>
          <w:szCs w:val="22"/>
          <w:b w:val="1"/>
          <w:bCs w:val="1"/>
          <w:color w:val="auto"/>
        </w:rPr>
      </w:pPr>
    </w:p>
    <w:p>
      <w:pPr>
        <w:ind w:right="80" w:firstLine="656"/>
        <w:spacing w:after="0" w:line="245" w:lineRule="auto"/>
        <w:tabs>
          <w:tab w:leader="none" w:pos="1116"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Successor to and Continuation of Prior Plan. </w:t>
      </w:r>
      <w:r>
        <w:rPr>
          <w:rFonts w:ascii="Times New Roman" w:cs="Times New Roman" w:eastAsia="Times New Roman" w:hAnsi="Times New Roman"/>
          <w:sz w:val="18"/>
          <w:szCs w:val="18"/>
          <w:color w:val="auto"/>
        </w:rPr>
        <w:t>The Plan is the successor to and continuation of the Prior Plan. As of the Effective Date,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 additional awards may be granted under the Prior Plan; (ii) the Prior Plan’s Available Reserve plus any Returning Shares will become available for issuance pursuant to Awards granted under this Plan as described in Section 2(a) below;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233" w:lineRule="exact"/>
        <w:rPr>
          <w:rFonts w:ascii="Times New Roman" w:cs="Times New Roman" w:eastAsia="Times New Roman" w:hAnsi="Times New Roman"/>
          <w:sz w:val="22"/>
          <w:szCs w:val="22"/>
          <w:b w:val="1"/>
          <w:bCs w:val="1"/>
          <w:color w:val="auto"/>
        </w:rPr>
      </w:pPr>
    </w:p>
    <w:p>
      <w:pPr>
        <w:ind w:right="340" w:firstLine="656"/>
        <w:spacing w:after="0" w:line="241" w:lineRule="auto"/>
        <w:tabs>
          <w:tab w:leader="none" w:pos="1128"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234" w:lineRule="exact"/>
        <w:rPr>
          <w:rFonts w:ascii="Times New Roman" w:cs="Times New Roman" w:eastAsia="Times New Roman" w:hAnsi="Times New Roman"/>
          <w:sz w:val="22"/>
          <w:szCs w:val="22"/>
          <w:b w:val="1"/>
          <w:bCs w:val="1"/>
          <w:color w:val="auto"/>
        </w:rPr>
      </w:pPr>
    </w:p>
    <w:p>
      <w:pPr>
        <w:ind w:right="180" w:firstLine="656"/>
        <w:spacing w:after="0" w:line="237" w:lineRule="auto"/>
        <w:tabs>
          <w:tab w:leader="none" w:pos="1104"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(iii) SARs; (iv) Restricted Stock Awards; (v) RSU Awards; (vi) Performance Awards; and (vii) Other Awards.</w:t>
      </w:r>
    </w:p>
    <w:p>
      <w:pPr>
        <w:spacing w:after="0" w:line="219"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w:t>
      </w:r>
    </w:p>
    <w:p>
      <w:pPr>
        <w:spacing w:after="0" w:line="1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Effective Date.</w:t>
      </w:r>
    </w:p>
    <w:p>
      <w:pPr>
        <w:spacing w:after="0" w:line="230"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Shares Subject to the Plan.</w:t>
      </w:r>
    </w:p>
    <w:p>
      <w:pPr>
        <w:spacing w:after="0" w:line="234" w:lineRule="exact"/>
        <w:rPr>
          <w:rFonts w:ascii="Times New Roman" w:cs="Times New Roman" w:eastAsia="Times New Roman" w:hAnsi="Times New Roman"/>
          <w:sz w:val="22"/>
          <w:szCs w:val="22"/>
          <w:b w:val="1"/>
          <w:bCs w:val="1"/>
          <w:color w:val="auto"/>
        </w:rPr>
      </w:pPr>
    </w:p>
    <w:p>
      <w:pPr>
        <w:ind w:right="240" w:firstLine="656"/>
        <w:spacing w:after="0" w:line="262" w:lineRule="auto"/>
        <w:tabs>
          <w:tab w:leader="none" w:pos="1116" w:val="left"/>
        </w:tabs>
        <w:numPr>
          <w:ilvl w:val="2"/>
          <w:numId w:val="3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b w:val="1"/>
          <w:bCs w:val="1"/>
          <w:color w:val="auto"/>
        </w:rPr>
        <w:t xml:space="preserve">Share Reserve. </w:t>
      </w:r>
      <w:r>
        <w:rPr>
          <w:rFonts w:ascii="Times New Roman" w:cs="Times New Roman" w:eastAsia="Times New Roman" w:hAnsi="Times New Roman"/>
          <w:sz w:val="17"/>
          <w:szCs w:val="17"/>
          <w:color w:val="auto"/>
        </w:rPr>
        <w:t>Subject to adjustment in accordance with Section 2(c) and any adjustments as necessary to implement any Capitalization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Adjustments, the aggregate number of shares of Common Stock that may be issued pursuant to Awards will not exceed (A) </w:t>
      </w:r>
      <w:r>
        <w:rPr>
          <w:rFonts w:ascii="Times New Roman" w:cs="Times New Roman" w:eastAsia="Times New Roman" w:hAnsi="Times New Roman"/>
          <w:sz w:val="17"/>
          <w:szCs w:val="17"/>
          <w:b w:val="1"/>
          <w:bCs w:val="1"/>
          <w:u w:val="single" w:color="auto"/>
          <w:color w:val="auto"/>
        </w:rPr>
        <w:t>9,350,000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strike w:val="1"/>
        </w:rPr>
        <w:t>6,850,000</w:t>
      </w:r>
      <w:r>
        <w:rPr>
          <w:rFonts w:ascii="Times New Roman" w:cs="Times New Roman" w:eastAsia="Times New Roman" w:hAnsi="Times New Roman"/>
          <w:sz w:val="17"/>
          <w:szCs w:val="17"/>
          <w:color w:val="auto"/>
        </w:rPr>
        <w:t xml:space="preserve"> shares, which number is the sum of (i) 2,140,009 shares originally approved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plus (ii) 3,250,000 new shares approved subsequently </w:t>
      </w:r>
      <w:r>
        <w:rPr>
          <w:rFonts w:ascii="Times New Roman" w:cs="Times New Roman" w:eastAsia="Times New Roman" w:hAnsi="Times New Roman"/>
          <w:sz w:val="17"/>
          <w:szCs w:val="17"/>
          <w:b w:val="1"/>
          <w:bCs w:val="1"/>
          <w:u w:val="single" w:color="auto"/>
          <w:color w:val="auto"/>
        </w:rPr>
        <w:t>plus (iii) 1,250,000 new</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u w:val="single" w:color="auto"/>
          <w:color w:val="auto"/>
        </w:rPr>
        <w:t>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plus (iv) the Prior Plan’s Available Reserve; plus (B) the number of Returning Shares, if any, as such shares become available from time to time.</w:t>
      </w:r>
    </w:p>
    <w:p>
      <w:pPr>
        <w:spacing w:after="0" w:line="216" w:lineRule="exact"/>
        <w:rPr>
          <w:rFonts w:ascii="Times New Roman" w:cs="Times New Roman" w:eastAsia="Times New Roman" w:hAnsi="Times New Roman"/>
          <w:sz w:val="21"/>
          <w:szCs w:val="21"/>
          <w:b w:val="1"/>
          <w:bCs w:val="1"/>
          <w:color w:val="auto"/>
        </w:rPr>
      </w:pPr>
    </w:p>
    <w:p>
      <w:pPr>
        <w:ind w:right="240" w:firstLine="656"/>
        <w:spacing w:after="0" w:line="241" w:lineRule="auto"/>
        <w:tabs>
          <w:tab w:leader="none" w:pos="1128"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necessary to implement any Capitalization Adjustments, the aggregate maximum number of shares of Common Stock that may be issued pursuant to the exercise of Incentive Stock Options is 18,000,000 shares.</w:t>
      </w:r>
    </w:p>
    <w:p>
      <w:pPr>
        <w:spacing w:after="0" w:line="220"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2"/>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234" w:lineRule="exact"/>
        <w:rPr>
          <w:rFonts w:ascii="Times New Roman" w:cs="Times New Roman" w:eastAsia="Times New Roman" w:hAnsi="Times New Roman"/>
          <w:sz w:val="22"/>
          <w:szCs w:val="22"/>
          <w:b w:val="1"/>
          <w:bCs w:val="1"/>
          <w:color w:val="auto"/>
        </w:rPr>
      </w:pPr>
    </w:p>
    <w:p>
      <w:pPr>
        <w:ind w:left="80" w:right="80" w:firstLine="1305"/>
        <w:spacing w:after="0" w:line="249" w:lineRule="auto"/>
        <w:tabs>
          <w:tab w:leader="none" w:pos="1796" w:val="left"/>
        </w:tabs>
        <w:numPr>
          <w:ilvl w:val="3"/>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229" w:lineRule="exact"/>
        <w:rPr>
          <w:rFonts w:ascii="Times New Roman" w:cs="Times New Roman" w:eastAsia="Times New Roman" w:hAnsi="Times New Roman"/>
          <w:sz w:val="22"/>
          <w:szCs w:val="22"/>
          <w:b w:val="1"/>
          <w:bCs w:val="1"/>
          <w:color w:val="auto"/>
        </w:rPr>
      </w:pPr>
    </w:p>
    <w:p>
      <w:pPr>
        <w:ind w:left="80" w:right="20" w:firstLine="1305"/>
        <w:spacing w:after="0" w:line="241" w:lineRule="auto"/>
        <w:tabs>
          <w:tab w:leader="none" w:pos="1856" w:val="left"/>
        </w:tabs>
        <w:numPr>
          <w:ilvl w:val="3"/>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 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w:t>
      </w:r>
    </w:p>
    <w:p>
      <w:pPr>
        <w:ind w:left="80" w:right="160" w:firstLine="9"/>
        <w:spacing w:after="0" w:line="255" w:lineRule="auto"/>
        <w:tabs>
          <w:tab w:leader="none" w:pos="335"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or (3) the withholding of shares that would otherwise be issued by the Company to satisfy a tax withholding obligation in connection with an Award other than an Option or a Stock Appreciation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4041140</wp:posOffset>
            </wp:positionH>
            <wp:positionV relativeFrom="paragraph">
              <wp:posOffset>-3075940</wp:posOffset>
            </wp:positionV>
            <wp:extent cx="2190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907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left="80" w:right="100" w:firstLine="1305"/>
        <w:spacing w:after="0" w:line="246" w:lineRule="auto"/>
        <w:tabs>
          <w:tab w:leader="none" w:pos="1916" w:val="left"/>
        </w:tabs>
        <w:numPr>
          <w:ilvl w:val="2"/>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Actions that Constitute Issuance of Common Stock and Reduce the Share Reserve. </w:t>
      </w:r>
      <w:r>
        <w:rPr>
          <w:rFonts w:ascii="Times New Roman" w:cs="Times New Roman" w:eastAsia="Times New Roman" w:hAnsi="Times New Roman"/>
          <w:sz w:val="18"/>
          <w:szCs w:val="18"/>
          <w:color w:val="auto"/>
        </w:rPr>
        <w:t>The following actions result in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shares under the Plan and accordingly reduce the number of shares subject to the Share Reserve and available for issuance under the Plan: (1) the withholding of shares that would otherwise be issued by the Company to satisfy the exercise, strike or purchase price of an Award; and (2) the withholding of shares that would otherwise be issued by the Company to satisfy a tax withholding obligation in connection with an Option or Stock Appreciation Right, or any shares repurchased by the Company on the open market with the proceeds of the exercise or strike price of an Option or Stock Appreciation Right.</w:t>
      </w:r>
    </w:p>
    <w:p>
      <w:pPr>
        <w:spacing w:after="0" w:line="232" w:lineRule="exact"/>
        <w:rPr>
          <w:rFonts w:ascii="Times New Roman" w:cs="Times New Roman" w:eastAsia="Times New Roman" w:hAnsi="Times New Roman"/>
          <w:sz w:val="22"/>
          <w:szCs w:val="22"/>
          <w:b w:val="1"/>
          <w:bCs w:val="1"/>
          <w:color w:val="auto"/>
        </w:rPr>
      </w:pPr>
    </w:p>
    <w:p>
      <w:pPr>
        <w:ind w:left="80" w:right="140" w:firstLine="1305"/>
        <w:spacing w:after="0" w:line="244" w:lineRule="auto"/>
        <w:tabs>
          <w:tab w:leader="none" w:pos="1904" w:val="left"/>
        </w:tabs>
        <w:numPr>
          <w:ilvl w:val="2"/>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Any shares previously issued pursuant to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and accordingly initially deducted from the Share Reserve that are forfeited back to or repurchased by the Company because of a failure to meet a contingency or condition required for the vesting of such shares will be added back to the Share Reserve and again become available for issuance under the Plan.</w:t>
      </w:r>
    </w:p>
    <w:p>
      <w:pPr>
        <w:spacing w:after="0" w:line="217"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Eligibility and Limitations.</w:t>
      </w:r>
    </w:p>
    <w:p>
      <w:pPr>
        <w:spacing w:after="0" w:line="233"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219"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234" w:lineRule="exact"/>
        <w:rPr>
          <w:rFonts w:ascii="Times New Roman" w:cs="Times New Roman" w:eastAsia="Times New Roman" w:hAnsi="Times New Roman"/>
          <w:sz w:val="22"/>
          <w:szCs w:val="22"/>
          <w:b w:val="1"/>
          <w:bCs w:val="1"/>
          <w:color w:val="auto"/>
        </w:rPr>
      </w:pPr>
    </w:p>
    <w:p>
      <w:pPr>
        <w:ind w:left="80" w:right="60" w:firstLine="1305"/>
        <w:spacing w:after="0" w:line="237" w:lineRule="auto"/>
        <w:tabs>
          <w:tab w:leader="none" w:pos="1796"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 “parent corporation” or “subsidiary corporation” thereof (as such terms are defined in Sections 424(e) and (f) of the Code).</w:t>
      </w:r>
    </w:p>
    <w:p>
      <w:pPr>
        <w:spacing w:after="0" w:line="234" w:lineRule="exact"/>
        <w:rPr>
          <w:rFonts w:ascii="Times New Roman" w:cs="Times New Roman" w:eastAsia="Times New Roman" w:hAnsi="Times New Roman"/>
          <w:sz w:val="22"/>
          <w:szCs w:val="22"/>
          <w:b w:val="1"/>
          <w:bCs w:val="1"/>
          <w:color w:val="auto"/>
        </w:rPr>
      </w:pPr>
    </w:p>
    <w:p>
      <w:pPr>
        <w:ind w:left="80" w:right="100" w:firstLine="1305"/>
        <w:spacing w:after="0" w:line="246" w:lineRule="auto"/>
        <w:tabs>
          <w:tab w:leader="none" w:pos="1856"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 of 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232" w:lineRule="exact"/>
        <w:rPr>
          <w:rFonts w:ascii="Times New Roman" w:cs="Times New Roman" w:eastAsia="Times New Roman" w:hAnsi="Times New Roman"/>
          <w:sz w:val="22"/>
          <w:szCs w:val="22"/>
          <w:b w:val="1"/>
          <w:bCs w:val="1"/>
          <w:color w:val="auto"/>
        </w:rPr>
      </w:pPr>
    </w:p>
    <w:p>
      <w:pPr>
        <w:ind w:left="80" w:right="20" w:firstLine="1305"/>
        <w:spacing w:after="0" w:line="248" w:lineRule="auto"/>
        <w:tabs>
          <w:tab w:leader="none" w:pos="1916"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an Incentive Stock Option unless (i) the exercise price of such Option is at least 110% of the Fair Market Value on the date of grant of such Option and (ii) the Option is not exercisable after the expiration of five years from the date of grant of such Option.</w:t>
      </w:r>
    </w:p>
    <w:p>
      <w:pPr>
        <w:spacing w:after="0" w:line="228" w:lineRule="exact"/>
        <w:rPr>
          <w:rFonts w:ascii="Times New Roman" w:cs="Times New Roman" w:eastAsia="Times New Roman" w:hAnsi="Times New Roman"/>
          <w:sz w:val="22"/>
          <w:szCs w:val="22"/>
          <w:b w:val="1"/>
          <w:bCs w:val="1"/>
          <w:color w:val="auto"/>
        </w:rPr>
      </w:pPr>
    </w:p>
    <w:p>
      <w:pPr>
        <w:ind w:left="80" w:right="20" w:firstLine="1305"/>
        <w:spacing w:after="0" w:line="244" w:lineRule="auto"/>
        <w:tabs>
          <w:tab w:leader="none" w:pos="1904" w:val="left"/>
        </w:tabs>
        <w:numPr>
          <w:ilvl w:val="2"/>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Employees, Directors and Consultants who are providing Continuous Service only to any “parent” of the Company (as such term is defined in Rule 405) unless the stock underlying such Awards is treated as “service recipient stock” under Section 409A because the Awards are granted pursuant to a corporate transaction (such as a spin off transaction) or unless such Awards otherwise comply with the distribution requirements of Section 409A.</w:t>
      </w:r>
    </w:p>
    <w:p>
      <w:pPr>
        <w:spacing w:after="0" w:line="232" w:lineRule="exact"/>
        <w:rPr>
          <w:rFonts w:ascii="Times New Roman" w:cs="Times New Roman" w:eastAsia="Times New Roman" w:hAnsi="Times New Roman"/>
          <w:sz w:val="22"/>
          <w:szCs w:val="22"/>
          <w:b w:val="1"/>
          <w:bCs w:val="1"/>
          <w:color w:val="auto"/>
        </w:rPr>
      </w:pPr>
    </w:p>
    <w:p>
      <w:pPr>
        <w:ind w:right="20" w:firstLine="656"/>
        <w:spacing w:after="0" w:line="237" w:lineRule="auto"/>
        <w:tabs>
          <w:tab w:leader="none" w:pos="1104" w:val="left"/>
        </w:tabs>
        <w:numPr>
          <w:ilvl w:val="1"/>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219"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Options and Stock Appreciation Rights.</w:t>
      </w:r>
    </w:p>
    <w:p>
      <w:pPr>
        <w:spacing w:after="0" w:line="198"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224" w:lineRule="exact"/>
        <w:rPr>
          <w:sz w:val="20"/>
          <w:szCs w:val="20"/>
          <w:color w:val="auto"/>
        </w:rPr>
      </w:pPr>
    </w:p>
    <w:p>
      <w:pPr>
        <w:ind w:right="240" w:firstLine="656"/>
        <w:spacing w:after="0" w:line="237" w:lineRule="auto"/>
        <w:tabs>
          <w:tab w:leader="none" w:pos="1116" w:val="left"/>
        </w:tabs>
        <w:numPr>
          <w:ilvl w:val="0"/>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date of grant of such Award or such shorter period specified in the Award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right="140" w:firstLine="656"/>
        <w:spacing w:after="0" w:line="245" w:lineRule="auto"/>
        <w:tabs>
          <w:tab w:leader="none" w:pos="1128"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233" w:lineRule="exact"/>
        <w:rPr>
          <w:rFonts w:ascii="Times New Roman" w:cs="Times New Roman" w:eastAsia="Times New Roman" w:hAnsi="Times New Roman"/>
          <w:sz w:val="22"/>
          <w:szCs w:val="22"/>
          <w:b w:val="1"/>
          <w:bCs w:val="1"/>
          <w:color w:val="auto"/>
        </w:rPr>
      </w:pPr>
    </w:p>
    <w:p>
      <w:pPr>
        <w:ind w:right="20" w:firstLine="656"/>
        <w:spacing w:after="0" w:line="246" w:lineRule="auto"/>
        <w:tabs>
          <w:tab w:leader="none" w:pos="1104"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217" w:lineRule="exact"/>
        <w:rPr>
          <w:rFonts w:ascii="Times New Roman" w:cs="Times New Roman" w:eastAsia="Times New Roman" w:hAnsi="Times New Roman"/>
          <w:sz w:val="22"/>
          <w:szCs w:val="22"/>
          <w:b w:val="1"/>
          <w:bCs w:val="1"/>
          <w:color w:val="auto"/>
        </w:rPr>
      </w:pPr>
    </w:p>
    <w:p>
      <w:pPr>
        <w:ind w:left="1800" w:hanging="415"/>
        <w:spacing w:after="0"/>
        <w:tabs>
          <w:tab w:leader="none" w:pos="1800"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251" w:lineRule="exact"/>
        <w:rPr>
          <w:rFonts w:ascii="Times New Roman" w:cs="Times New Roman" w:eastAsia="Times New Roman" w:hAnsi="Times New Roman"/>
          <w:sz w:val="22"/>
          <w:szCs w:val="22"/>
          <w:b w:val="1"/>
          <w:bCs w:val="1"/>
          <w:color w:val="auto"/>
        </w:rPr>
      </w:pPr>
    </w:p>
    <w:p>
      <w:pPr>
        <w:ind w:left="80" w:right="40" w:firstLine="1305"/>
        <w:spacing w:after="0" w:line="239" w:lineRule="auto"/>
        <w:tabs>
          <w:tab w:leader="none" w:pos="185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240" w:lineRule="exact"/>
        <w:rPr>
          <w:rFonts w:ascii="Times New Roman" w:cs="Times New Roman" w:eastAsia="Times New Roman" w:hAnsi="Times New Roman"/>
          <w:sz w:val="22"/>
          <w:szCs w:val="22"/>
          <w:b w:val="1"/>
          <w:bCs w:val="1"/>
          <w:color w:val="auto"/>
        </w:rPr>
      </w:pPr>
    </w:p>
    <w:p>
      <w:pPr>
        <w:ind w:left="80" w:firstLine="1305"/>
        <w:spacing w:after="0" w:line="246" w:lineRule="auto"/>
        <w:tabs>
          <w:tab w:leader="none" w:pos="191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236" w:lineRule="exact"/>
        <w:rPr>
          <w:rFonts w:ascii="Times New Roman" w:cs="Times New Roman" w:eastAsia="Times New Roman" w:hAnsi="Times New Roman"/>
          <w:sz w:val="22"/>
          <w:szCs w:val="22"/>
          <w:b w:val="1"/>
          <w:bCs w:val="1"/>
          <w:color w:val="auto"/>
        </w:rPr>
      </w:pPr>
    </w:p>
    <w:p>
      <w:pPr>
        <w:jc w:val="both"/>
        <w:ind w:left="80" w:right="280" w:firstLine="1305"/>
        <w:spacing w:after="0" w:line="243" w:lineRule="auto"/>
        <w:tabs>
          <w:tab w:leader="none" w:pos="1904"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217" w:lineRule="exact"/>
        <w:rPr>
          <w:rFonts w:ascii="Times New Roman" w:cs="Times New Roman" w:eastAsia="Times New Roman" w:hAnsi="Times New Roman"/>
          <w:sz w:val="22"/>
          <w:szCs w:val="22"/>
          <w:b w:val="1"/>
          <w:bCs w:val="1"/>
          <w:color w:val="auto"/>
        </w:rPr>
      </w:pPr>
    </w:p>
    <w:p>
      <w:pPr>
        <w:ind w:left="1860" w:hanging="475"/>
        <w:spacing w:after="0"/>
        <w:tabs>
          <w:tab w:leader="none" w:pos="1860"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34" w:lineRule="exact"/>
        <w:rPr>
          <w:rFonts w:ascii="Times New Roman" w:cs="Times New Roman" w:eastAsia="Times New Roman" w:hAnsi="Times New Roman"/>
          <w:sz w:val="22"/>
          <w:szCs w:val="22"/>
          <w:b w:val="1"/>
          <w:bCs w:val="1"/>
          <w:color w:val="auto"/>
        </w:rPr>
      </w:pPr>
    </w:p>
    <w:p>
      <w:pPr>
        <w:ind w:right="140" w:firstLine="656"/>
        <w:spacing w:after="0" w:line="249" w:lineRule="auto"/>
        <w:tabs>
          <w:tab w:leader="none" w:pos="1128"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229" w:lineRule="exact"/>
        <w:rPr>
          <w:rFonts w:ascii="Times New Roman" w:cs="Times New Roman" w:eastAsia="Times New Roman" w:hAnsi="Times New Roman"/>
          <w:sz w:val="22"/>
          <w:szCs w:val="22"/>
          <w:b w:val="1"/>
          <w:bCs w:val="1"/>
          <w:color w:val="auto"/>
        </w:rPr>
      </w:pPr>
    </w:p>
    <w:p>
      <w:pPr>
        <w:ind w:right="140" w:firstLine="656"/>
        <w:spacing w:after="0" w:line="245" w:lineRule="auto"/>
        <w:tabs>
          <w:tab w:leader="none" w:pos="1104"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233" w:lineRule="exact"/>
        <w:rPr>
          <w:rFonts w:ascii="Times New Roman" w:cs="Times New Roman" w:eastAsia="Times New Roman" w:hAnsi="Times New Roman"/>
          <w:sz w:val="22"/>
          <w:szCs w:val="22"/>
          <w:b w:val="1"/>
          <w:bCs w:val="1"/>
          <w:color w:val="auto"/>
        </w:rPr>
      </w:pPr>
    </w:p>
    <w:p>
      <w:pPr>
        <w:ind w:left="80" w:right="60" w:firstLine="1305"/>
        <w:spacing w:after="0" w:line="245" w:lineRule="auto"/>
        <w:tabs>
          <w:tab w:leader="none" w:pos="1796"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jc w:val="both"/>
        <w:ind w:left="80" w:right="460" w:firstLine="1305"/>
        <w:spacing w:after="0" w:line="241" w:lineRule="auto"/>
        <w:tabs>
          <w:tab w:leader="none" w:pos="1856"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acceptable to the Company and subject to the approval of the Board or a duly authorized Officer, an Option or SAR may be transferred pursuant to a domestic relations order.</w:t>
      </w:r>
    </w:p>
    <w:p>
      <w:pPr>
        <w:spacing w:after="0" w:line="234" w:lineRule="exact"/>
        <w:rPr>
          <w:rFonts w:ascii="Times New Roman" w:cs="Times New Roman" w:eastAsia="Times New Roman" w:hAnsi="Times New Roman"/>
          <w:sz w:val="22"/>
          <w:szCs w:val="22"/>
          <w:b w:val="1"/>
          <w:bCs w:val="1"/>
          <w:color w:val="auto"/>
        </w:rPr>
      </w:pPr>
    </w:p>
    <w:p>
      <w:pPr>
        <w:ind w:right="20" w:firstLine="656"/>
        <w:spacing w:after="0" w:line="241" w:lineRule="auto"/>
        <w:tabs>
          <w:tab w:leader="none" w:pos="108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Options and SARs will cease upon termination of the Participant’s Continuous Service.</w:t>
      </w:r>
    </w:p>
    <w:p>
      <w:pPr>
        <w:spacing w:after="0" w:line="234" w:lineRule="exact"/>
        <w:rPr>
          <w:rFonts w:ascii="Times New Roman" w:cs="Times New Roman" w:eastAsia="Times New Roman" w:hAnsi="Times New Roman"/>
          <w:sz w:val="22"/>
          <w:szCs w:val="22"/>
          <w:b w:val="1"/>
          <w:bCs w:val="1"/>
          <w:color w:val="auto"/>
        </w:rPr>
      </w:pPr>
    </w:p>
    <w:p>
      <w:pPr>
        <w:ind w:right="80" w:firstLine="656"/>
        <w:spacing w:after="0" w:line="249" w:lineRule="auto"/>
        <w:tabs>
          <w:tab w:leader="none" w:pos="1116"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229" w:lineRule="exact"/>
        <w:rPr>
          <w:rFonts w:ascii="Times New Roman" w:cs="Times New Roman" w:eastAsia="Times New Roman" w:hAnsi="Times New Roman"/>
          <w:sz w:val="22"/>
          <w:szCs w:val="22"/>
          <w:b w:val="1"/>
          <w:bCs w:val="1"/>
          <w:color w:val="auto"/>
        </w:rPr>
      </w:pPr>
    </w:p>
    <w:p>
      <w:pPr>
        <w:ind w:right="80" w:firstLine="656"/>
        <w:spacing w:after="0" w:line="245" w:lineRule="auto"/>
        <w:tabs>
          <w:tab w:leader="none" w:pos="1128"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237" w:lineRule="exact"/>
        <w:rPr>
          <w:rFonts w:ascii="Times New Roman" w:cs="Times New Roman" w:eastAsia="Times New Roman" w:hAnsi="Times New Roman"/>
          <w:sz w:val="22"/>
          <w:szCs w:val="22"/>
          <w:b w:val="1"/>
          <w:bCs w:val="1"/>
          <w:color w:val="auto"/>
        </w:rPr>
      </w:pPr>
    </w:p>
    <w:p>
      <w:pPr>
        <w:ind w:left="80" w:right="40" w:firstLine="1305"/>
        <w:spacing w:after="0" w:line="234" w:lineRule="auto"/>
        <w:tabs>
          <w:tab w:leader="none" w:pos="1796" w:val="left"/>
        </w:tabs>
        <w:numPr>
          <w:ilvl w:val="1"/>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221" w:lineRule="exact"/>
        <w:rPr>
          <w:sz w:val="20"/>
          <w:szCs w:val="20"/>
          <w:color w:val="auto"/>
        </w:rPr>
      </w:pPr>
    </w:p>
    <w:p>
      <w:pPr>
        <w:ind w:left="1860" w:hanging="475"/>
        <w:spacing w:after="0"/>
        <w:tabs>
          <w:tab w:leader="none" w:pos="186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219" w:lineRule="exact"/>
        <w:rPr>
          <w:rFonts w:ascii="Times New Roman" w:cs="Times New Roman" w:eastAsia="Times New Roman" w:hAnsi="Times New Roman"/>
          <w:sz w:val="22"/>
          <w:szCs w:val="22"/>
          <w:b w:val="1"/>
          <w:bCs w:val="1"/>
          <w:color w:val="auto"/>
        </w:rPr>
      </w:pPr>
    </w:p>
    <w:p>
      <w:pPr>
        <w:ind w:left="1920" w:hanging="535"/>
        <w:spacing w:after="0"/>
        <w:tabs>
          <w:tab w:leader="none" w:pos="192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238" w:lineRule="exact"/>
        <w:rPr>
          <w:rFonts w:ascii="Times New Roman" w:cs="Times New Roman" w:eastAsia="Times New Roman" w:hAnsi="Times New Roman"/>
          <w:sz w:val="22"/>
          <w:szCs w:val="22"/>
          <w:b w:val="1"/>
          <w:bCs w:val="1"/>
          <w:color w:val="auto"/>
        </w:rPr>
      </w:pPr>
    </w:p>
    <w:p>
      <w:pPr>
        <w:ind w:left="80" w:right="40" w:firstLine="1305"/>
        <w:spacing w:after="0" w:line="244" w:lineRule="auto"/>
        <w:tabs>
          <w:tab w:leader="none" w:pos="190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19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216" w:lineRule="exact"/>
        <w:rPr>
          <w:sz w:val="20"/>
          <w:szCs w:val="20"/>
          <w:color w:val="auto"/>
        </w:rPr>
      </w:pPr>
    </w:p>
    <w:p>
      <w:pPr>
        <w:ind w:firstLine="656"/>
        <w:spacing w:after="0" w:line="248" w:lineRule="auto"/>
        <w:tabs>
          <w:tab w:leader="none" w:pos="1068"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230" w:lineRule="exact"/>
        <w:rPr>
          <w:rFonts w:ascii="Times New Roman" w:cs="Times New Roman" w:eastAsia="Times New Roman" w:hAnsi="Times New Roman"/>
          <w:sz w:val="22"/>
          <w:szCs w:val="22"/>
          <w:b w:val="1"/>
          <w:bCs w:val="1"/>
          <w:color w:val="auto"/>
        </w:rPr>
      </w:pPr>
    </w:p>
    <w:p>
      <w:pPr>
        <w:ind w:right="60" w:firstLine="656"/>
        <w:spacing w:after="0" w:line="247" w:lineRule="auto"/>
        <w:tabs>
          <w:tab w:leader="none" w:pos="108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4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83" w:lineRule="exact"/>
        <w:rPr>
          <w:sz w:val="20"/>
          <w:szCs w:val="20"/>
          <w:color w:val="auto"/>
        </w:rPr>
      </w:pPr>
    </w:p>
    <w:p>
      <w:pPr>
        <w:ind w:left="1140" w:hanging="484"/>
        <w:spacing w:after="0"/>
        <w:tabs>
          <w:tab w:leader="none" w:pos="1140"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19"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Awards Other Than Options and Stock Appreciation Rights.</w:t>
      </w:r>
    </w:p>
    <w:p>
      <w:pPr>
        <w:spacing w:after="0" w:line="234" w:lineRule="exact"/>
        <w:rPr>
          <w:rFonts w:ascii="Times New Roman" w:cs="Times New Roman" w:eastAsia="Times New Roman" w:hAnsi="Times New Roman"/>
          <w:sz w:val="22"/>
          <w:szCs w:val="22"/>
          <w:b w:val="1"/>
          <w:bCs w:val="1"/>
          <w:color w:val="auto"/>
        </w:rPr>
      </w:pPr>
    </w:p>
    <w:p>
      <w:pPr>
        <w:ind w:right="620" w:firstLine="656"/>
        <w:spacing w:after="0" w:line="248" w:lineRule="auto"/>
        <w:tabs>
          <w:tab w:leader="none" w:pos="1116" w:val="left"/>
        </w:tabs>
        <w:numPr>
          <w:ilvl w:val="1"/>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214" w:lineRule="exact"/>
        <w:rPr>
          <w:rFonts w:ascii="Times New Roman" w:cs="Times New Roman" w:eastAsia="Times New Roman" w:hAnsi="Times New Roman"/>
          <w:sz w:val="22"/>
          <w:szCs w:val="22"/>
          <w:b w:val="1"/>
          <w:bCs w:val="1"/>
          <w:color w:val="auto"/>
        </w:rPr>
      </w:pPr>
    </w:p>
    <w:p>
      <w:pPr>
        <w:ind w:left="1800" w:hanging="415"/>
        <w:spacing w:after="0"/>
        <w:tabs>
          <w:tab w:leader="none" w:pos="1800"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Form of Award.</w:t>
      </w:r>
    </w:p>
    <w:p>
      <w:pPr>
        <w:spacing w:after="0" w:line="238" w:lineRule="exact"/>
        <w:rPr>
          <w:rFonts w:ascii="Times New Roman" w:cs="Times New Roman" w:eastAsia="Times New Roman" w:hAnsi="Times New Roman"/>
          <w:sz w:val="22"/>
          <w:szCs w:val="22"/>
          <w:b w:val="1"/>
          <w:bCs w:val="1"/>
          <w:color w:val="auto"/>
        </w:rPr>
      </w:pPr>
    </w:p>
    <w:p>
      <w:pPr>
        <w:ind w:right="20" w:firstLine="1952"/>
        <w:spacing w:after="0" w:line="260" w:lineRule="auto"/>
        <w:tabs>
          <w:tab w:leader="none" w:pos="2412" w:val="left"/>
        </w:tabs>
        <w:numPr>
          <w:ilvl w:val="3"/>
          <w:numId w:val="4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color w:val="auto"/>
        </w:rPr>
        <w:t>RSAs: To the extent consistent with the Company’s Bylaws, at the Board’s election, shares of Common Stock subject to a Restricted Stock Award may be (i) held in book entry form subject to the Company’s instructions until such shares become vested or any other restrictions lapse, or (ii)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223" w:lineRule="exact"/>
        <w:rPr>
          <w:rFonts w:ascii="Times New Roman" w:cs="Times New Roman" w:eastAsia="Times New Roman" w:hAnsi="Times New Roman"/>
          <w:sz w:val="21"/>
          <w:szCs w:val="21"/>
          <w:b w:val="1"/>
          <w:bCs w:val="1"/>
          <w:color w:val="auto"/>
        </w:rPr>
      </w:pPr>
    </w:p>
    <w:p>
      <w:pPr>
        <w:ind w:right="60" w:firstLine="1952"/>
        <w:spacing w:after="0" w:line="245" w:lineRule="auto"/>
        <w:tabs>
          <w:tab w:leader="none" w:pos="2412" w:val="left"/>
        </w:tabs>
        <w:numPr>
          <w:ilvl w:val="3"/>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RSUs: A RSU Award represents a Participant’s right to be issued on a future date the number of shares of Common Stock that is equal to the number of restricted stock units subject to the RSU Award. As a holder of a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19" w:lineRule="exact"/>
        <w:rPr>
          <w:rFonts w:ascii="Times New Roman" w:cs="Times New Roman" w:eastAsia="Times New Roman" w:hAnsi="Times New Roman"/>
          <w:sz w:val="22"/>
          <w:szCs w:val="22"/>
          <w:b w:val="1"/>
          <w:bCs w:val="1"/>
          <w:color w:val="auto"/>
        </w:rPr>
      </w:pPr>
    </w:p>
    <w:p>
      <w:pPr>
        <w:ind w:left="1860" w:hanging="475"/>
        <w:spacing w:after="0"/>
        <w:tabs>
          <w:tab w:leader="none" w:pos="1860"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Consideration.</w:t>
      </w:r>
    </w:p>
    <w:p>
      <w:pPr>
        <w:spacing w:after="0" w:line="238" w:lineRule="exact"/>
        <w:rPr>
          <w:rFonts w:ascii="Times New Roman" w:cs="Times New Roman" w:eastAsia="Times New Roman" w:hAnsi="Times New Roman"/>
          <w:sz w:val="22"/>
          <w:szCs w:val="22"/>
          <w:b w:val="1"/>
          <w:bCs w:val="1"/>
          <w:color w:val="auto"/>
        </w:rPr>
      </w:pPr>
    </w:p>
    <w:p>
      <w:pPr>
        <w:ind w:right="200" w:firstLine="1952"/>
        <w:spacing w:after="0" w:line="246" w:lineRule="auto"/>
        <w:tabs>
          <w:tab w:leader="none" w:pos="2412" w:val="left"/>
        </w:tabs>
        <w:numPr>
          <w:ilvl w:val="3"/>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RSA: A Restricted Stock Award may be granted in consideration for (A) cash or check, bank draft or money order payable to the Company, (B) past services to the Company or an Affiliate, or (C) any other form of consideration (including future services) as the Board may determine and permissible under Applicable Law.</w:t>
      </w:r>
    </w:p>
    <w:p>
      <w:pPr>
        <w:spacing w:after="0" w:line="234" w:lineRule="exact"/>
        <w:rPr>
          <w:rFonts w:ascii="Times New Roman" w:cs="Times New Roman" w:eastAsia="Times New Roman" w:hAnsi="Times New Roman"/>
          <w:sz w:val="22"/>
          <w:szCs w:val="22"/>
          <w:b w:val="1"/>
          <w:bCs w:val="1"/>
          <w:color w:val="auto"/>
        </w:rPr>
      </w:pPr>
    </w:p>
    <w:p>
      <w:pPr>
        <w:ind w:firstLine="1952"/>
        <w:spacing w:after="0" w:line="245" w:lineRule="auto"/>
        <w:tabs>
          <w:tab w:leader="none" w:pos="2412" w:val="left"/>
        </w:tabs>
        <w:numPr>
          <w:ilvl w:val="3"/>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RSU: Unless otherwise determined by the Board at the time of grant, a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233" w:lineRule="exact"/>
        <w:rPr>
          <w:rFonts w:ascii="Times New Roman" w:cs="Times New Roman" w:eastAsia="Times New Roman" w:hAnsi="Times New Roman"/>
          <w:sz w:val="22"/>
          <w:szCs w:val="22"/>
          <w:b w:val="1"/>
          <w:bCs w:val="1"/>
          <w:color w:val="auto"/>
        </w:rPr>
      </w:pPr>
    </w:p>
    <w:p>
      <w:pPr>
        <w:ind w:left="80" w:right="60" w:firstLine="1305"/>
        <w:spacing w:after="0" w:line="241" w:lineRule="auto"/>
        <w:tabs>
          <w:tab w:leader="none" w:pos="1916"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234" w:lineRule="exact"/>
        <w:rPr>
          <w:rFonts w:ascii="Times New Roman" w:cs="Times New Roman" w:eastAsia="Times New Roman" w:hAnsi="Times New Roman"/>
          <w:sz w:val="22"/>
          <w:szCs w:val="22"/>
          <w:b w:val="1"/>
          <w:bCs w:val="1"/>
          <w:color w:val="auto"/>
        </w:rPr>
      </w:pPr>
    </w:p>
    <w:p>
      <w:pPr>
        <w:ind w:left="80" w:right="20" w:firstLine="1305"/>
        <w:spacing w:after="0" w:line="246" w:lineRule="auto"/>
        <w:tabs>
          <w:tab w:leader="none" w:pos="1904" w:val="left"/>
        </w:tabs>
        <w:numPr>
          <w:ilvl w:val="2"/>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 and the Company or an Affiliate, if a Participant’s Continuous Service terminates for any reason, (i)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(ii)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left="80" w:right="100" w:firstLine="1305"/>
        <w:spacing w:after="0" w:line="237" w:lineRule="auto"/>
        <w:tabs>
          <w:tab w:leader="none" w:pos="1844" w:val="left"/>
        </w:tabs>
        <w:numPr>
          <w:ilvl w:val="2"/>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shares of Common Stock subject to an Award, as determined by the Board and contained in the applicable Award Agreement.</w:t>
      </w:r>
    </w:p>
    <w:p>
      <w:pPr>
        <w:spacing w:after="0" w:line="234" w:lineRule="exact"/>
        <w:rPr>
          <w:rFonts w:ascii="Times New Roman" w:cs="Times New Roman" w:eastAsia="Times New Roman" w:hAnsi="Times New Roman"/>
          <w:sz w:val="22"/>
          <w:szCs w:val="22"/>
          <w:b w:val="1"/>
          <w:bCs w:val="1"/>
          <w:color w:val="auto"/>
        </w:rPr>
      </w:pPr>
    </w:p>
    <w:p>
      <w:pPr>
        <w:ind w:left="80" w:right="180" w:firstLine="1305"/>
        <w:spacing w:after="0" w:line="241" w:lineRule="auto"/>
        <w:tabs>
          <w:tab w:leader="none" w:pos="1904" w:val="left"/>
        </w:tabs>
        <w:numPr>
          <w:ilvl w:val="2"/>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 RSU Award may be settled by the issuance of shares of Common Stock or cash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234" w:lineRule="exact"/>
        <w:rPr>
          <w:rFonts w:ascii="Times New Roman" w:cs="Times New Roman" w:eastAsia="Times New Roman" w:hAnsi="Times New Roman"/>
          <w:sz w:val="22"/>
          <w:szCs w:val="22"/>
          <w:b w:val="1"/>
          <w:bCs w:val="1"/>
          <w:color w:val="auto"/>
        </w:rPr>
      </w:pPr>
    </w:p>
    <w:p>
      <w:pPr>
        <w:ind w:right="160" w:firstLine="656"/>
        <w:spacing w:after="0" w:line="248" w:lineRule="auto"/>
        <w:tabs>
          <w:tab w:leader="none" w:pos="1128"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achieved during the Performance Period, the other terms and conditions of such Award, and the measure of whether and to what degree such Performance Goals have been attained will be determined by the Board.</w:t>
      </w:r>
    </w:p>
    <w:p>
      <w:pPr>
        <w:spacing w:after="0" w:line="228" w:lineRule="exact"/>
        <w:rPr>
          <w:rFonts w:ascii="Times New Roman" w:cs="Times New Roman" w:eastAsia="Times New Roman" w:hAnsi="Times New Roman"/>
          <w:sz w:val="22"/>
          <w:szCs w:val="22"/>
          <w:b w:val="1"/>
          <w:bCs w:val="1"/>
          <w:color w:val="auto"/>
        </w:rPr>
      </w:pPr>
    </w:p>
    <w:p>
      <w:pPr>
        <w:ind w:right="20" w:firstLine="656"/>
        <w:spacing w:after="0" w:line="246" w:lineRule="auto"/>
        <w:tabs>
          <w:tab w:leader="none" w:pos="1104" w:val="left"/>
        </w:tabs>
        <w:numPr>
          <w:ilvl w:val="1"/>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(e.g., options or stock rights with an exercise price or strike price less than 100% of the Fair Market Value at the time of grant)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17"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Adjustments upon Changes in Common Stock; Other Corporate Events.</w:t>
      </w:r>
    </w:p>
    <w:p>
      <w:pPr>
        <w:spacing w:after="0" w:line="234" w:lineRule="exact"/>
        <w:rPr>
          <w:rFonts w:ascii="Times New Roman" w:cs="Times New Roman" w:eastAsia="Times New Roman" w:hAnsi="Times New Roman"/>
          <w:sz w:val="22"/>
          <w:szCs w:val="22"/>
          <w:b w:val="1"/>
          <w:bCs w:val="1"/>
          <w:color w:val="auto"/>
        </w:rPr>
      </w:pPr>
    </w:p>
    <w:p>
      <w:pPr>
        <w:ind w:right="40" w:firstLine="656"/>
        <w:spacing w:after="0" w:line="247" w:lineRule="auto"/>
        <w:tabs>
          <w:tab w:leader="none" w:pos="1116"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2(a); and (iii) the class(es) and number of securities and exercise price, strike price or purchase price of Common Stock subject to outstanding Awards. The Board shall make such adjustments, and its 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232" w:lineRule="exact"/>
        <w:rPr>
          <w:rFonts w:ascii="Times New Roman" w:cs="Times New Roman" w:eastAsia="Times New Roman" w:hAnsi="Times New Roman"/>
          <w:sz w:val="22"/>
          <w:szCs w:val="22"/>
          <w:b w:val="1"/>
          <w:bCs w:val="1"/>
          <w:color w:val="auto"/>
        </w:rPr>
      </w:pPr>
    </w:p>
    <w:p>
      <w:pPr>
        <w:ind w:right="80" w:firstLine="656"/>
        <w:spacing w:after="0" w:line="247" w:lineRule="auto"/>
        <w:tabs>
          <w:tab w:leader="none" w:pos="1128"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Dissolution or Liquidation</w:t>
      </w:r>
      <w:r>
        <w:rPr>
          <w:rFonts w:ascii="Times New Roman" w:cs="Times New Roman" w:eastAsia="Times New Roman" w:hAnsi="Times New Roman"/>
          <w:sz w:val="18"/>
          <w:szCs w:val="18"/>
          <w:color w:val="auto"/>
        </w:rPr>
        <w:t>. Except as otherwise provided in the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230" w:lineRule="exact"/>
        <w:rPr>
          <w:rFonts w:ascii="Times New Roman" w:cs="Times New Roman" w:eastAsia="Times New Roman" w:hAnsi="Times New Roman"/>
          <w:sz w:val="22"/>
          <w:szCs w:val="22"/>
          <w:b w:val="1"/>
          <w:bCs w:val="1"/>
          <w:color w:val="auto"/>
        </w:rPr>
      </w:pPr>
    </w:p>
    <w:p>
      <w:pPr>
        <w:ind w:right="260" w:firstLine="656"/>
        <w:spacing w:after="0" w:line="248" w:lineRule="auto"/>
        <w:tabs>
          <w:tab w:leader="none" w:pos="1104" w:val="left"/>
        </w:tabs>
        <w:numPr>
          <w:ilvl w:val="1"/>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11, and unless otherwise provided in the instrument evidencing the Award or any other written agreement between the Company or any Affiliate and the Participant or unless otherwise expressly provided by the Board at the time of grant of an Award.</w:t>
      </w:r>
    </w:p>
    <w:p>
      <w:pPr>
        <w:spacing w:after="0" w:line="228" w:lineRule="exact"/>
        <w:rPr>
          <w:rFonts w:ascii="Times New Roman" w:cs="Times New Roman" w:eastAsia="Times New Roman" w:hAnsi="Times New Roman"/>
          <w:sz w:val="22"/>
          <w:szCs w:val="22"/>
          <w:b w:val="1"/>
          <w:bCs w:val="1"/>
          <w:color w:val="auto"/>
        </w:rPr>
      </w:pPr>
    </w:p>
    <w:p>
      <w:pPr>
        <w:ind w:left="80" w:right="40" w:firstLine="1305"/>
        <w:spacing w:after="0" w:line="247" w:lineRule="auto"/>
        <w:tabs>
          <w:tab w:leader="none" w:pos="1796" w:val="left"/>
        </w:tabs>
        <w:numPr>
          <w:ilvl w:val="2"/>
          <w:numId w:val="5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left="80" w:firstLine="1305"/>
        <w:spacing w:after="0" w:line="248" w:lineRule="auto"/>
        <w:tabs>
          <w:tab w:leader="none" w:pos="1856" w:val="left"/>
        </w:tabs>
        <w:numPr>
          <w:ilvl w:val="2"/>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or unless otherwise provided by the Board, the vesting of such Performance Awards will accelerate at 100% of the target level upon the occurrence of the Corporate Transaction.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w:t>
      </w:r>
    </w:p>
    <w:p>
      <w:pPr>
        <w:spacing w:after="0" w:line="238" w:lineRule="exact"/>
        <w:rPr>
          <w:rFonts w:ascii="Times New Roman" w:cs="Times New Roman" w:eastAsia="Times New Roman" w:hAnsi="Times New Roman"/>
          <w:sz w:val="22"/>
          <w:szCs w:val="22"/>
          <w:b w:val="1"/>
          <w:bCs w:val="1"/>
          <w:color w:val="auto"/>
        </w:rPr>
      </w:pPr>
    </w:p>
    <w:p>
      <w:pPr>
        <w:ind w:left="80" w:right="120" w:firstLine="1305"/>
        <w:spacing w:after="0" w:line="246" w:lineRule="auto"/>
        <w:tabs>
          <w:tab w:leader="none" w:pos="1916" w:val="left"/>
        </w:tabs>
        <w:numPr>
          <w:ilvl w:val="2"/>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32" w:lineRule="exact"/>
        <w:rPr>
          <w:rFonts w:ascii="Times New Roman" w:cs="Times New Roman" w:eastAsia="Times New Roman" w:hAnsi="Times New Roman"/>
          <w:sz w:val="22"/>
          <w:szCs w:val="22"/>
          <w:b w:val="1"/>
          <w:bCs w:val="1"/>
          <w:color w:val="auto"/>
        </w:rPr>
      </w:pPr>
    </w:p>
    <w:p>
      <w:pPr>
        <w:ind w:left="80" w:right="100" w:firstLine="1305"/>
        <w:spacing w:after="0" w:line="249" w:lineRule="auto"/>
        <w:tabs>
          <w:tab w:leader="none" w:pos="1904" w:val="left"/>
        </w:tabs>
        <w:numPr>
          <w:ilvl w:val="2"/>
          <w:numId w:val="5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228" w:lineRule="exact"/>
        <w:rPr>
          <w:rFonts w:ascii="Times New Roman" w:cs="Times New Roman" w:eastAsia="Times New Roman" w:hAnsi="Times New Roman"/>
          <w:sz w:val="22"/>
          <w:szCs w:val="22"/>
          <w:b w:val="1"/>
          <w:bCs w:val="1"/>
          <w:color w:val="auto"/>
        </w:rPr>
      </w:pPr>
    </w:p>
    <w:p>
      <w:pPr>
        <w:jc w:val="both"/>
        <w:ind w:right="60" w:firstLine="656"/>
        <w:spacing w:after="0" w:line="241" w:lineRule="auto"/>
        <w:tabs>
          <w:tab w:leader="none" w:pos="1128"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An Award may be subject to additional acceleration of vesting and exercisability upon or after a Change in Control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provided in the Award Agreement for such Award or as may be provided in any other written agreement between the Company or any Affiliate and the Participant, but in the absence of such provision, no such acceleration will occur.</w:t>
      </w:r>
    </w:p>
    <w:p>
      <w:pPr>
        <w:spacing w:after="0" w:line="234" w:lineRule="exact"/>
        <w:rPr>
          <w:rFonts w:ascii="Times New Roman" w:cs="Times New Roman" w:eastAsia="Times New Roman" w:hAnsi="Times New Roman"/>
          <w:sz w:val="22"/>
          <w:szCs w:val="22"/>
          <w:b w:val="1"/>
          <w:bCs w:val="1"/>
          <w:color w:val="auto"/>
        </w:rPr>
      </w:pPr>
    </w:p>
    <w:p>
      <w:pPr>
        <w:jc w:val="both"/>
        <w:ind w:right="240" w:firstLine="656"/>
        <w:spacing w:after="0" w:line="244" w:lineRule="auto"/>
        <w:tabs>
          <w:tab w:leader="none" w:pos="1104"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232" w:lineRule="exact"/>
        <w:rPr>
          <w:rFonts w:ascii="Times New Roman" w:cs="Times New Roman" w:eastAsia="Times New Roman" w:hAnsi="Times New Roman"/>
          <w:sz w:val="22"/>
          <w:szCs w:val="22"/>
          <w:b w:val="1"/>
          <w:bCs w:val="1"/>
          <w:color w:val="auto"/>
        </w:rPr>
      </w:pPr>
    </w:p>
    <w:p>
      <w:pPr>
        <w:ind w:firstLine="656"/>
        <w:spacing w:after="0" w:line="246" w:lineRule="auto"/>
        <w:tabs>
          <w:tab w:leader="none" w:pos="1080" w:val="left"/>
        </w:tabs>
        <w:numPr>
          <w:ilvl w:val="1"/>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No Restriction on Right to Undertake Transactions</w:t>
      </w:r>
      <w:r>
        <w:rPr>
          <w:rFonts w:ascii="Times New Roman" w:cs="Times New Roman" w:eastAsia="Times New Roman" w:hAnsi="Times New Roman"/>
          <w:sz w:val="18"/>
          <w:szCs w:val="18"/>
          <w:color w:val="auto"/>
        </w:rPr>
        <w:t>. The grant of any Award under the Plan and the issuance of shares pursuant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17"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Administration.</w:t>
      </w:r>
    </w:p>
    <w:p>
      <w:pPr>
        <w:spacing w:after="0" w:line="234" w:lineRule="exact"/>
        <w:rPr>
          <w:rFonts w:ascii="Times New Roman" w:cs="Times New Roman" w:eastAsia="Times New Roman" w:hAnsi="Times New Roman"/>
          <w:sz w:val="22"/>
          <w:szCs w:val="22"/>
          <w:b w:val="1"/>
          <w:bCs w:val="1"/>
          <w:color w:val="auto"/>
        </w:rPr>
      </w:pPr>
    </w:p>
    <w:p>
      <w:pPr>
        <w:ind w:right="700" w:firstLine="656"/>
        <w:spacing w:after="0" w:line="249" w:lineRule="auto"/>
        <w:tabs>
          <w:tab w:leader="none" w:pos="1116"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or Committees, as provided in subsection (c) below.</w:t>
      </w:r>
    </w:p>
    <w:p>
      <w:pPr>
        <w:spacing w:after="0" w:line="210"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1"/>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82" w:lineRule="exact"/>
        <w:rPr>
          <w:sz w:val="20"/>
          <w:szCs w:val="20"/>
          <w:color w:val="auto"/>
        </w:rPr>
      </w:pPr>
    </w:p>
    <w:p>
      <w:pPr>
        <w:ind w:right="200" w:firstLine="1305"/>
        <w:spacing w:after="0" w:line="252" w:lineRule="auto"/>
        <w:tabs>
          <w:tab w:leader="none" w:pos="1716" w:val="left"/>
        </w:tabs>
        <w:numPr>
          <w:ilvl w:val="2"/>
          <w:numId w:val="5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w:t>
      </w:r>
    </w:p>
    <w:p>
      <w:pPr>
        <w:spacing w:after="0" w:line="2" w:lineRule="exact"/>
        <w:rPr>
          <w:rFonts w:ascii="Times New Roman" w:cs="Times New Roman" w:eastAsia="Times New Roman" w:hAnsi="Times New Roman"/>
          <w:sz w:val="21"/>
          <w:szCs w:val="21"/>
          <w:b w:val="1"/>
          <w:bCs w:val="1"/>
          <w:color w:val="auto"/>
        </w:rPr>
      </w:pPr>
    </w:p>
    <w:p>
      <w:pPr>
        <w:jc w:val="both"/>
        <w:ind w:right="260" w:firstLine="9"/>
        <w:spacing w:after="0" w:line="255" w:lineRule="auto"/>
        <w:tabs>
          <w:tab w:leader="none" w:pos="2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226" w:lineRule="exact"/>
        <w:rPr>
          <w:rFonts w:ascii="Times New Roman" w:cs="Times New Roman" w:eastAsia="Times New Roman" w:hAnsi="Times New Roman"/>
          <w:sz w:val="18"/>
          <w:szCs w:val="18"/>
          <w:color w:val="auto"/>
        </w:rPr>
      </w:pPr>
    </w:p>
    <w:p>
      <w:pPr>
        <w:jc w:val="both"/>
        <w:ind w:right="240" w:firstLine="1305"/>
        <w:spacing w:after="0" w:line="239" w:lineRule="auto"/>
        <w:tabs>
          <w:tab w:leader="none" w:pos="1776"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221" w:lineRule="exact"/>
        <w:rPr>
          <w:rFonts w:ascii="Times New Roman" w:cs="Times New Roman" w:eastAsia="Times New Roman" w:hAnsi="Times New Roman"/>
          <w:sz w:val="22"/>
          <w:szCs w:val="22"/>
          <w:b w:val="1"/>
          <w:bCs w:val="1"/>
          <w:color w:val="auto"/>
        </w:rPr>
      </w:pPr>
    </w:p>
    <w:p>
      <w:pPr>
        <w:ind w:left="1840" w:hanging="535"/>
        <w:spacing w:after="0"/>
        <w:tabs>
          <w:tab w:leader="none" w:pos="1840"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251" w:lineRule="exact"/>
        <w:rPr>
          <w:rFonts w:ascii="Times New Roman" w:cs="Times New Roman" w:eastAsia="Times New Roman" w:hAnsi="Times New Roman"/>
          <w:sz w:val="22"/>
          <w:szCs w:val="22"/>
          <w:b w:val="1"/>
          <w:bCs w:val="1"/>
          <w:color w:val="auto"/>
        </w:rPr>
      </w:pPr>
    </w:p>
    <w:p>
      <w:pPr>
        <w:ind w:right="80" w:firstLine="1305"/>
        <w:spacing w:after="0" w:line="234" w:lineRule="auto"/>
        <w:tabs>
          <w:tab w:leader="none" w:pos="1824"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240" w:lineRule="exact"/>
        <w:rPr>
          <w:rFonts w:ascii="Times New Roman" w:cs="Times New Roman" w:eastAsia="Times New Roman" w:hAnsi="Times New Roman"/>
          <w:sz w:val="22"/>
          <w:szCs w:val="22"/>
          <w:b w:val="1"/>
          <w:bCs w:val="1"/>
          <w:color w:val="auto"/>
        </w:rPr>
      </w:pPr>
    </w:p>
    <w:p>
      <w:pPr>
        <w:ind w:right="140" w:firstLine="1305"/>
        <w:spacing w:after="0" w:line="243" w:lineRule="auto"/>
        <w:tabs>
          <w:tab w:leader="none" w:pos="1764"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235" w:lineRule="exact"/>
        <w:rPr>
          <w:rFonts w:ascii="Times New Roman" w:cs="Times New Roman" w:eastAsia="Times New Roman" w:hAnsi="Times New Roman"/>
          <w:sz w:val="22"/>
          <w:szCs w:val="22"/>
          <w:b w:val="1"/>
          <w:bCs w:val="1"/>
          <w:color w:val="auto"/>
        </w:rPr>
      </w:pPr>
    </w:p>
    <w:p>
      <w:pPr>
        <w:ind w:right="640" w:firstLine="1305"/>
        <w:spacing w:after="0" w:line="234" w:lineRule="auto"/>
        <w:tabs>
          <w:tab w:leader="none" w:pos="1824"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238" w:lineRule="exact"/>
        <w:rPr>
          <w:rFonts w:ascii="Times New Roman" w:cs="Times New Roman" w:eastAsia="Times New Roman" w:hAnsi="Times New Roman"/>
          <w:sz w:val="22"/>
          <w:szCs w:val="22"/>
          <w:b w:val="1"/>
          <w:bCs w:val="1"/>
          <w:color w:val="auto"/>
        </w:rPr>
      </w:pPr>
    </w:p>
    <w:p>
      <w:pPr>
        <w:ind w:right="60" w:firstLine="1305"/>
        <w:spacing w:after="0" w:line="243" w:lineRule="auto"/>
        <w:tabs>
          <w:tab w:leader="none" w:pos="1884"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219" w:lineRule="exact"/>
        <w:rPr>
          <w:rFonts w:ascii="Times New Roman" w:cs="Times New Roman" w:eastAsia="Times New Roman" w:hAnsi="Times New Roman"/>
          <w:sz w:val="22"/>
          <w:szCs w:val="22"/>
          <w:b w:val="1"/>
          <w:bCs w:val="1"/>
          <w:color w:val="auto"/>
        </w:rPr>
      </w:pPr>
    </w:p>
    <w:p>
      <w:pPr>
        <w:ind w:left="1960" w:hanging="655"/>
        <w:spacing w:after="0"/>
        <w:tabs>
          <w:tab w:leader="none" w:pos="1960"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251" w:lineRule="exact"/>
        <w:rPr>
          <w:rFonts w:ascii="Times New Roman" w:cs="Times New Roman" w:eastAsia="Times New Roman" w:hAnsi="Times New Roman"/>
          <w:sz w:val="22"/>
          <w:szCs w:val="22"/>
          <w:b w:val="1"/>
          <w:bCs w:val="1"/>
          <w:color w:val="auto"/>
        </w:rPr>
      </w:pPr>
    </w:p>
    <w:p>
      <w:pPr>
        <w:ind w:right="200" w:firstLine="1305"/>
        <w:spacing w:after="0" w:line="260" w:lineRule="auto"/>
        <w:tabs>
          <w:tab w:leader="none" w:pos="1824" w:val="left"/>
        </w:tabs>
        <w:numPr>
          <w:ilvl w:val="2"/>
          <w:numId w:val="5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Participant’s rights under any Award will not be Materially Impaired by any such amendment unless (1) the Company requests the consent of the affected Participant, and (2) such Participant consents in writing.</w:t>
      </w:r>
    </w:p>
    <w:p>
      <w:pPr>
        <w:spacing w:after="0" w:line="223" w:lineRule="exact"/>
        <w:rPr>
          <w:rFonts w:ascii="Times New Roman" w:cs="Times New Roman" w:eastAsia="Times New Roman" w:hAnsi="Times New Roman"/>
          <w:sz w:val="21"/>
          <w:szCs w:val="21"/>
          <w:b w:val="1"/>
          <w:bCs w:val="1"/>
          <w:color w:val="auto"/>
        </w:rPr>
      </w:pPr>
    </w:p>
    <w:p>
      <w:pPr>
        <w:ind w:right="520" w:firstLine="1305"/>
        <w:spacing w:after="0" w:line="234" w:lineRule="auto"/>
        <w:tabs>
          <w:tab w:leader="none" w:pos="1764"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240" w:lineRule="exact"/>
        <w:rPr>
          <w:rFonts w:ascii="Times New Roman" w:cs="Times New Roman" w:eastAsia="Times New Roman" w:hAnsi="Times New Roman"/>
          <w:sz w:val="22"/>
          <w:szCs w:val="22"/>
          <w:b w:val="1"/>
          <w:bCs w:val="1"/>
          <w:color w:val="auto"/>
        </w:rPr>
      </w:pPr>
    </w:p>
    <w:p>
      <w:pPr>
        <w:jc w:val="both"/>
        <w:ind w:right="60" w:firstLine="1305"/>
        <w:spacing w:after="0" w:line="243" w:lineRule="auto"/>
        <w:tabs>
          <w:tab w:leader="none" w:pos="1824" w:val="left"/>
        </w:tabs>
        <w:numPr>
          <w:ilvl w:val="2"/>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217" w:lineRule="exact"/>
        <w:rPr>
          <w:rFonts w:ascii="Times New Roman" w:cs="Times New Roman" w:eastAsia="Times New Roman" w:hAnsi="Times New Roman"/>
          <w:sz w:val="22"/>
          <w:szCs w:val="22"/>
          <w:b w:val="1"/>
          <w:bCs w:val="1"/>
          <w:color w:val="auto"/>
        </w:rPr>
      </w:pPr>
    </w:p>
    <w:p>
      <w:pPr>
        <w:ind w:left="1040" w:hanging="464"/>
        <w:spacing w:after="0"/>
        <w:tabs>
          <w:tab w:leader="none" w:pos="1040" w:val="left"/>
        </w:tabs>
        <w:numPr>
          <w:ilvl w:val="1"/>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34" w:lineRule="exact"/>
        <w:rPr>
          <w:rFonts w:ascii="Times New Roman" w:cs="Times New Roman" w:eastAsia="Times New Roman" w:hAnsi="Times New Roman"/>
          <w:sz w:val="22"/>
          <w:szCs w:val="22"/>
          <w:b w:val="1"/>
          <w:bCs w:val="1"/>
          <w:color w:val="auto"/>
        </w:rPr>
      </w:pPr>
    </w:p>
    <w:p>
      <w:pPr>
        <w:jc w:val="both"/>
        <w:ind w:right="160" w:firstLine="1305"/>
        <w:spacing w:after="0" w:line="244" w:lineRule="auto"/>
        <w:tabs>
          <w:tab w:leader="none" w:pos="1716" w:val="left"/>
        </w:tabs>
        <w:numPr>
          <w:ilvl w:val="2"/>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41" w:lineRule="exact"/>
        <w:rPr>
          <w:sz w:val="20"/>
          <w:szCs w:val="20"/>
          <w:color w:val="auto"/>
        </w:rPr>
      </w:pPr>
    </w:p>
    <w:p>
      <w:pPr>
        <w:ind w:left="80" w:right="40"/>
        <w:spacing w:after="0" w:line="258" w:lineRule="auto"/>
        <w:rPr>
          <w:sz w:val="20"/>
          <w:szCs w:val="20"/>
          <w:color w:val="auto"/>
        </w:rPr>
      </w:pPr>
      <w:r>
        <w:rPr>
          <w:rFonts w:ascii="Times New Roman" w:cs="Times New Roman" w:eastAsia="Times New Roman" w:hAnsi="Times New Roman"/>
          <w:sz w:val="18"/>
          <w:szCs w:val="18"/>
          <w:color w:val="auto"/>
        </w:rPr>
        <w:t>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220" w:lineRule="exact"/>
        <w:rPr>
          <w:sz w:val="20"/>
          <w:szCs w:val="20"/>
          <w:color w:val="auto"/>
        </w:rPr>
      </w:pPr>
    </w:p>
    <w:p>
      <w:pPr>
        <w:jc w:val="both"/>
        <w:ind w:left="80" w:right="100" w:firstLine="1305"/>
        <w:spacing w:after="0" w:line="244" w:lineRule="auto"/>
        <w:tabs>
          <w:tab w:leader="none" w:pos="1856" w:val="left"/>
        </w:tabs>
        <w:numPr>
          <w:ilvl w:val="2"/>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32" w:lineRule="exact"/>
        <w:rPr>
          <w:rFonts w:ascii="Times New Roman" w:cs="Times New Roman" w:eastAsia="Times New Roman" w:hAnsi="Times New Roman"/>
          <w:sz w:val="22"/>
          <w:szCs w:val="22"/>
          <w:b w:val="1"/>
          <w:bCs w:val="1"/>
          <w:color w:val="auto"/>
        </w:rPr>
      </w:pPr>
    </w:p>
    <w:p>
      <w:pPr>
        <w:ind w:right="200" w:firstLine="656"/>
        <w:spacing w:after="0" w:line="237" w:lineRule="auto"/>
        <w:tabs>
          <w:tab w:leader="none" w:pos="1128"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subject to review by any person and will be final, binding and conclusive on all persons.</w:t>
      </w:r>
    </w:p>
    <w:p>
      <w:pPr>
        <w:spacing w:after="0" w:line="234" w:lineRule="exact"/>
        <w:rPr>
          <w:rFonts w:ascii="Times New Roman" w:cs="Times New Roman" w:eastAsia="Times New Roman" w:hAnsi="Times New Roman"/>
          <w:sz w:val="22"/>
          <w:szCs w:val="22"/>
          <w:b w:val="1"/>
          <w:bCs w:val="1"/>
          <w:color w:val="auto"/>
        </w:rPr>
      </w:pPr>
    </w:p>
    <w:p>
      <w:pPr>
        <w:ind w:right="120" w:firstLine="656"/>
        <w:spacing w:after="0" w:line="250" w:lineRule="auto"/>
        <w:tabs>
          <w:tab w:leader="none" w:pos="1104"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(i) 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25" w:lineRule="exact"/>
        <w:rPr>
          <w:rFonts w:ascii="Times New Roman" w:cs="Times New Roman" w:eastAsia="Times New Roman" w:hAnsi="Times New Roman"/>
          <w:sz w:val="22"/>
          <w:szCs w:val="22"/>
          <w:b w:val="1"/>
          <w:bCs w:val="1"/>
          <w:color w:val="auto"/>
        </w:rPr>
      </w:pPr>
    </w:p>
    <w:p>
      <w:pPr>
        <w:ind w:right="180" w:firstLine="656"/>
        <w:spacing w:after="0" w:line="244" w:lineRule="auto"/>
        <w:tabs>
          <w:tab w:leader="none" w:pos="1080"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Cancellation and Re-Grant of Awards. </w:t>
      </w:r>
      <w:r>
        <w:rPr>
          <w:rFonts w:ascii="Times New Roman" w:cs="Times New Roman" w:eastAsia="Times New Roman" w:hAnsi="Times New Roman"/>
          <w:sz w:val="18"/>
          <w:szCs w:val="18"/>
          <w:color w:val="auto"/>
        </w:rPr>
        <w:t>Neither the Board nor any Committee will have the authority to (i) reduce the exercise or strike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price of any outstanding Option or SAR or (ii) cancel any outstanding Option or SAR that has an exercise or strike price (per share) greater than the then-current Fair Market Value of the Common Stock in exchange for cash or other Awards under the Plan, unless the stockholders of the Company have approved such an action within 12 months prior to such an event.</w:t>
      </w:r>
    </w:p>
    <w:p>
      <w:pPr>
        <w:spacing w:after="0" w:line="232" w:lineRule="exact"/>
        <w:rPr>
          <w:rFonts w:ascii="Times New Roman" w:cs="Times New Roman" w:eastAsia="Times New Roman" w:hAnsi="Times New Roman"/>
          <w:sz w:val="22"/>
          <w:szCs w:val="22"/>
          <w:b w:val="1"/>
          <w:bCs w:val="1"/>
          <w:color w:val="auto"/>
        </w:rPr>
      </w:pPr>
    </w:p>
    <w:p>
      <w:pPr>
        <w:ind w:right="80" w:firstLine="656"/>
        <w:spacing w:after="0" w:line="246" w:lineRule="auto"/>
        <w:tabs>
          <w:tab w:leader="none" w:pos="1116" w:val="left"/>
        </w:tabs>
        <w:numPr>
          <w:ilvl w:val="1"/>
          <w:numId w:val="5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Dividends and Dividend Equivalents</w:t>
      </w:r>
      <w:r>
        <w:rPr>
          <w:rFonts w:ascii="Times New Roman" w:cs="Times New Roman" w:eastAsia="Times New Roman" w:hAnsi="Times New Roman"/>
          <w:sz w:val="18"/>
          <w:szCs w:val="18"/>
          <w:color w:val="auto"/>
        </w:rPr>
        <w:t>. Notwithstanding any other provision in this Plan, (i) no dividends or dividend equivalents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with respect to any such shares before the date such shares have vested under the terms of such Award Agreement, (ii) any dividends or dividend equivalents that are credited with respect to any such shares will be subject to all of the terms and conditions applicable to such shares under the terms of such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Award Agreement.</w:t>
      </w:r>
    </w:p>
    <w:p>
      <w:pPr>
        <w:spacing w:after="0" w:line="217"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Tax Withholding</w:t>
      </w:r>
    </w:p>
    <w:p>
      <w:pPr>
        <w:spacing w:after="0" w:line="234" w:lineRule="exact"/>
        <w:rPr>
          <w:rFonts w:ascii="Times New Roman" w:cs="Times New Roman" w:eastAsia="Times New Roman" w:hAnsi="Times New Roman"/>
          <w:sz w:val="22"/>
          <w:szCs w:val="22"/>
          <w:b w:val="1"/>
          <w:bCs w:val="1"/>
          <w:color w:val="auto"/>
        </w:rPr>
      </w:pPr>
    </w:p>
    <w:p>
      <w:pPr>
        <w:ind w:right="100" w:firstLine="656"/>
        <w:spacing w:after="0" w:line="246" w:lineRule="auto"/>
        <w:tabs>
          <w:tab w:leader="none" w:pos="1116"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232" w:lineRule="exact"/>
        <w:rPr>
          <w:rFonts w:ascii="Times New Roman" w:cs="Times New Roman" w:eastAsia="Times New Roman" w:hAnsi="Times New Roman"/>
          <w:sz w:val="22"/>
          <w:szCs w:val="22"/>
          <w:b w:val="1"/>
          <w:bCs w:val="1"/>
          <w:color w:val="auto"/>
        </w:rPr>
      </w:pPr>
    </w:p>
    <w:p>
      <w:pPr>
        <w:ind w:right="100" w:firstLine="656"/>
        <w:spacing w:after="0" w:line="249" w:lineRule="auto"/>
        <w:tabs>
          <w:tab w:leader="none" w:pos="1128" w:val="left"/>
        </w:tabs>
        <w:numPr>
          <w:ilvl w:val="1"/>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firstLine="656"/>
        <w:spacing w:after="0" w:line="248" w:lineRule="auto"/>
        <w:tabs>
          <w:tab w:leader="none" w:pos="1104"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238" w:lineRule="exact"/>
        <w:rPr>
          <w:rFonts w:ascii="Times New Roman" w:cs="Times New Roman" w:eastAsia="Times New Roman" w:hAnsi="Times New Roman"/>
          <w:sz w:val="22"/>
          <w:szCs w:val="22"/>
          <w:b w:val="1"/>
          <w:bCs w:val="1"/>
          <w:color w:val="auto"/>
        </w:rPr>
      </w:pPr>
    </w:p>
    <w:p>
      <w:pPr>
        <w:ind w:right="40" w:firstLine="656"/>
        <w:spacing w:after="0" w:line="244" w:lineRule="auto"/>
        <w:tabs>
          <w:tab w:leader="none" w:pos="1128" w:val="left"/>
        </w:tabs>
        <w:numPr>
          <w:ilvl w:val="1"/>
          <w:numId w:val="6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217" w:lineRule="exact"/>
        <w:rPr>
          <w:rFonts w:ascii="Times New Roman" w:cs="Times New Roman" w:eastAsia="Times New Roman" w:hAnsi="Times New Roman"/>
          <w:sz w:val="22"/>
          <w:szCs w:val="22"/>
          <w:b w:val="1"/>
          <w:bCs w:val="1"/>
          <w:color w:val="auto"/>
        </w:rPr>
      </w:pPr>
    </w:p>
    <w:p>
      <w:pPr>
        <w:ind w:left="380" w:hanging="372"/>
        <w:spacing w:after="0"/>
        <w:tabs>
          <w:tab w:leader="none" w:pos="380" w:val="left"/>
        </w:tabs>
        <w:numPr>
          <w:ilvl w:val="0"/>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Miscellaneous.</w:t>
      </w:r>
    </w:p>
    <w:p>
      <w:pPr>
        <w:spacing w:after="0" w:line="247" w:lineRule="exact"/>
        <w:rPr>
          <w:rFonts w:ascii="Times New Roman" w:cs="Times New Roman" w:eastAsia="Times New Roman" w:hAnsi="Times New Roman"/>
          <w:sz w:val="22"/>
          <w:szCs w:val="22"/>
          <w:b w:val="1"/>
          <w:bCs w:val="1"/>
          <w:color w:val="auto"/>
        </w:rPr>
      </w:pPr>
    </w:p>
    <w:p>
      <w:pPr>
        <w:ind w:right="400" w:firstLine="656"/>
        <w:spacing w:after="0" w:line="237" w:lineRule="auto"/>
        <w:tabs>
          <w:tab w:leader="none" w:pos="1116"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234" w:lineRule="exact"/>
        <w:rPr>
          <w:rFonts w:ascii="Times New Roman" w:cs="Times New Roman" w:eastAsia="Times New Roman" w:hAnsi="Times New Roman"/>
          <w:sz w:val="22"/>
          <w:szCs w:val="22"/>
          <w:b w:val="1"/>
          <w:bCs w:val="1"/>
          <w:color w:val="auto"/>
        </w:rPr>
      </w:pPr>
    </w:p>
    <w:p>
      <w:pPr>
        <w:ind w:right="340" w:firstLine="656"/>
        <w:spacing w:after="0" w:line="237" w:lineRule="auto"/>
        <w:tabs>
          <w:tab w:leader="none" w:pos="1128"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funds of the Company.</w:t>
      </w:r>
    </w:p>
    <w:p>
      <w:pPr>
        <w:spacing w:after="0" w:line="234" w:lineRule="exact"/>
        <w:rPr>
          <w:rFonts w:ascii="Times New Roman" w:cs="Times New Roman" w:eastAsia="Times New Roman" w:hAnsi="Times New Roman"/>
          <w:sz w:val="22"/>
          <w:szCs w:val="22"/>
          <w:b w:val="1"/>
          <w:bCs w:val="1"/>
          <w:color w:val="auto"/>
        </w:rPr>
      </w:pPr>
    </w:p>
    <w:p>
      <w:pPr>
        <w:ind w:right="60" w:firstLine="656"/>
        <w:spacing w:after="0" w:line="247" w:lineRule="auto"/>
        <w:tabs>
          <w:tab w:leader="none" w:pos="1104"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230" w:lineRule="exact"/>
        <w:rPr>
          <w:rFonts w:ascii="Times New Roman" w:cs="Times New Roman" w:eastAsia="Times New Roman" w:hAnsi="Times New Roman"/>
          <w:sz w:val="22"/>
          <w:szCs w:val="22"/>
          <w:b w:val="1"/>
          <w:bCs w:val="1"/>
          <w:color w:val="auto"/>
        </w:rPr>
      </w:pPr>
    </w:p>
    <w:p>
      <w:pPr>
        <w:jc w:val="both"/>
        <w:ind w:right="140" w:firstLine="656"/>
        <w:spacing w:after="0" w:line="241" w:lineRule="auto"/>
        <w:tabs>
          <w:tab w:leader="none" w:pos="1128"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234" w:lineRule="exact"/>
        <w:rPr>
          <w:rFonts w:ascii="Times New Roman" w:cs="Times New Roman" w:eastAsia="Times New Roman" w:hAnsi="Times New Roman"/>
          <w:sz w:val="22"/>
          <w:szCs w:val="22"/>
          <w:b w:val="1"/>
          <w:bCs w:val="1"/>
          <w:color w:val="auto"/>
        </w:rPr>
      </w:pPr>
    </w:p>
    <w:p>
      <w:pPr>
        <w:ind w:right="160" w:firstLine="656"/>
        <w:spacing w:after="0" w:line="250" w:lineRule="auto"/>
        <w:tabs>
          <w:tab w:leader="none" w:pos="1104" w:val="left"/>
        </w:tabs>
        <w:numPr>
          <w:ilvl w:val="1"/>
          <w:numId w:val="6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right="100" w:firstLine="656"/>
        <w:spacing w:after="0" w:line="247" w:lineRule="auto"/>
        <w:tabs>
          <w:tab w:leader="none" w:pos="10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30" w:lineRule="exact"/>
        <w:rPr>
          <w:rFonts w:ascii="Times New Roman" w:cs="Times New Roman" w:eastAsia="Times New Roman" w:hAnsi="Times New Roman"/>
          <w:sz w:val="22"/>
          <w:szCs w:val="22"/>
          <w:b w:val="1"/>
          <w:bCs w:val="1"/>
          <w:color w:val="auto"/>
        </w:rPr>
      </w:pPr>
    </w:p>
    <w:p>
      <w:pPr>
        <w:jc w:val="both"/>
        <w:ind w:right="20" w:firstLine="656"/>
        <w:spacing w:after="0" w:line="241" w:lineRule="auto"/>
        <w:tabs>
          <w:tab w:leader="none" w:pos="1116"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234" w:lineRule="exact"/>
        <w:rPr>
          <w:rFonts w:ascii="Times New Roman" w:cs="Times New Roman" w:eastAsia="Times New Roman" w:hAnsi="Times New Roman"/>
          <w:sz w:val="22"/>
          <w:szCs w:val="22"/>
          <w:b w:val="1"/>
          <w:bCs w:val="1"/>
          <w:color w:val="auto"/>
        </w:rPr>
      </w:pPr>
    </w:p>
    <w:p>
      <w:pPr>
        <w:ind w:firstLine="656"/>
        <w:spacing w:after="0" w:line="249" w:lineRule="auto"/>
        <w:tabs>
          <w:tab w:leader="none" w:pos="1128"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229" w:lineRule="exact"/>
        <w:rPr>
          <w:rFonts w:ascii="Times New Roman" w:cs="Times New Roman" w:eastAsia="Times New Roman" w:hAnsi="Times New Roman"/>
          <w:sz w:val="22"/>
          <w:szCs w:val="22"/>
          <w:b w:val="1"/>
          <w:bCs w:val="1"/>
          <w:color w:val="auto"/>
        </w:rPr>
      </w:pPr>
    </w:p>
    <w:p>
      <w:pPr>
        <w:ind w:right="80" w:firstLine="656"/>
        <w:spacing w:after="0" w:line="248" w:lineRule="auto"/>
        <w:tabs>
          <w:tab w:leader="none" w:pos="1068"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the Company’s clawback policy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adopted in February 2021, with any other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with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voluntary terminate employment upon a “resignation for good reason,” or for a “constructive termination” or any similar term under any plan of or agreement with the Company.</w:t>
      </w:r>
    </w:p>
    <w:p>
      <w:pPr>
        <w:spacing w:after="0" w:line="228" w:lineRule="exact"/>
        <w:rPr>
          <w:rFonts w:ascii="Times New Roman" w:cs="Times New Roman" w:eastAsia="Times New Roman" w:hAnsi="Times New Roman"/>
          <w:sz w:val="22"/>
          <w:szCs w:val="22"/>
          <w:b w:val="1"/>
          <w:bCs w:val="1"/>
          <w:color w:val="auto"/>
        </w:rPr>
      </w:pPr>
    </w:p>
    <w:p>
      <w:pPr>
        <w:ind w:right="140" w:firstLine="656"/>
        <w:spacing w:after="0" w:line="244" w:lineRule="auto"/>
        <w:tabs>
          <w:tab w:leader="none" w:pos="1080"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232" w:lineRule="exact"/>
        <w:rPr>
          <w:rFonts w:ascii="Times New Roman" w:cs="Times New Roman" w:eastAsia="Times New Roman" w:hAnsi="Times New Roman"/>
          <w:sz w:val="22"/>
          <w:szCs w:val="22"/>
          <w:b w:val="1"/>
          <w:bCs w:val="1"/>
          <w:color w:val="auto"/>
        </w:rPr>
      </w:pPr>
    </w:p>
    <w:p>
      <w:pPr>
        <w:ind w:right="20" w:firstLine="656"/>
        <w:spacing w:after="0" w:line="245" w:lineRule="auto"/>
        <w:tabs>
          <w:tab w:leader="none" w:pos="1128"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233" w:lineRule="exact"/>
        <w:rPr>
          <w:rFonts w:ascii="Times New Roman" w:cs="Times New Roman" w:eastAsia="Times New Roman" w:hAnsi="Times New Roman"/>
          <w:sz w:val="22"/>
          <w:szCs w:val="22"/>
          <w:b w:val="1"/>
          <w:bCs w:val="1"/>
          <w:color w:val="auto"/>
        </w:rPr>
      </w:pPr>
    </w:p>
    <w:p>
      <w:pPr>
        <w:ind w:right="60" w:firstLine="656"/>
        <w:spacing w:after="0" w:line="244" w:lineRule="auto"/>
        <w:tabs>
          <w:tab w:leader="none" w:pos="1068"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232" w:lineRule="exact"/>
        <w:rPr>
          <w:rFonts w:ascii="Times New Roman" w:cs="Times New Roman" w:eastAsia="Times New Roman" w:hAnsi="Times New Roman"/>
          <w:sz w:val="22"/>
          <w:szCs w:val="22"/>
          <w:b w:val="1"/>
          <w:bCs w:val="1"/>
          <w:color w:val="auto"/>
        </w:rPr>
      </w:pPr>
    </w:p>
    <w:p>
      <w:pPr>
        <w:ind w:right="80" w:firstLine="656"/>
        <w:spacing w:after="0" w:line="248" w:lineRule="auto"/>
        <w:tabs>
          <w:tab w:leader="none" w:pos="1188"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the payment of cash, upon the exercise, vesting or settlement of all or a portion of any Award may be deferred and may also establish programs and procedures for deferral elections to be made by Participants. Deferrals by will be made in accordance with the requirements of Section 409A.</w:t>
      </w:r>
    </w:p>
    <w:p>
      <w:pPr>
        <w:spacing w:after="0" w:line="228" w:lineRule="exact"/>
        <w:rPr>
          <w:rFonts w:ascii="Times New Roman" w:cs="Times New Roman" w:eastAsia="Times New Roman" w:hAnsi="Times New Roman"/>
          <w:sz w:val="22"/>
          <w:szCs w:val="22"/>
          <w:b w:val="1"/>
          <w:bCs w:val="1"/>
          <w:color w:val="auto"/>
        </w:rPr>
      </w:pPr>
    </w:p>
    <w:p>
      <w:pPr>
        <w:ind w:right="120" w:firstLine="656"/>
        <w:spacing w:after="0" w:line="237" w:lineRule="auto"/>
        <w:tabs>
          <w:tab w:leader="none" w:pos="1128" w:val="left"/>
        </w:tabs>
        <w:numPr>
          <w:ilvl w:val="0"/>
          <w:numId w:val="6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4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31" w:lineRule="exact"/>
        <w:rPr>
          <w:sz w:val="20"/>
          <w:szCs w:val="20"/>
          <w:color w:val="auto"/>
        </w:rPr>
      </w:pPr>
    </w:p>
    <w:p>
      <w:pPr>
        <w:ind w:right="20" w:firstLine="656"/>
        <w:spacing w:after="0" w:line="241" w:lineRule="auto"/>
        <w:tabs>
          <w:tab w:leader="none" w:pos="1116" w:val="left"/>
        </w:tabs>
        <w:numPr>
          <w:ilvl w:val="1"/>
          <w:numId w:val="6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Choice of Law.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220" w:lineRule="exact"/>
        <w:rPr>
          <w:rFonts w:ascii="Times New Roman" w:cs="Times New Roman" w:eastAsia="Times New Roman" w:hAnsi="Times New Roman"/>
          <w:sz w:val="22"/>
          <w:szCs w:val="22"/>
          <w:b w:val="1"/>
          <w:bCs w:val="1"/>
          <w:color w:val="auto"/>
        </w:rPr>
      </w:pPr>
    </w:p>
    <w:p>
      <w:pPr>
        <w:ind w:left="500" w:hanging="492"/>
        <w:spacing w:after="0"/>
        <w:tabs>
          <w:tab w:leader="none" w:pos="50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Covenants of the Company.</w:t>
      </w:r>
    </w:p>
    <w:p>
      <w:pPr>
        <w:spacing w:after="0" w:line="234" w:lineRule="exact"/>
        <w:rPr>
          <w:rFonts w:ascii="Times New Roman" w:cs="Times New Roman" w:eastAsia="Times New Roman" w:hAnsi="Times New Roman"/>
          <w:sz w:val="22"/>
          <w:szCs w:val="22"/>
          <w:b w:val="1"/>
          <w:bCs w:val="1"/>
          <w:color w:val="auto"/>
        </w:rPr>
      </w:pPr>
    </w:p>
    <w:p>
      <w:pPr>
        <w:ind w:firstLine="656"/>
        <w:spacing w:after="0" w:line="249" w:lineRule="auto"/>
        <w:tabs>
          <w:tab w:leader="none" w:pos="1116"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Compliance with Law. </w:t>
      </w:r>
      <w:r>
        <w:rPr>
          <w:rFonts w:ascii="Times New Roman" w:cs="Times New Roman" w:eastAsia="Times New Roman" w:hAnsi="Times New Roman"/>
          <w:sz w:val="18"/>
          <w:szCs w:val="18"/>
          <w:color w:val="auto"/>
        </w:rPr>
        <w:t>The Company will seek to obtain from each regulatory commission or agency, as may be deemed to be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17" w:lineRule="exact"/>
        <w:rPr>
          <w:rFonts w:ascii="Times New Roman" w:cs="Times New Roman" w:eastAsia="Times New Roman" w:hAnsi="Times New Roman"/>
          <w:sz w:val="22"/>
          <w:szCs w:val="22"/>
          <w:b w:val="1"/>
          <w:bCs w:val="1"/>
          <w:color w:val="auto"/>
        </w:rPr>
      </w:pPr>
    </w:p>
    <w:p>
      <w:pPr>
        <w:ind w:left="480" w:hanging="472"/>
        <w:spacing w:after="0"/>
        <w:tabs>
          <w:tab w:leader="none" w:pos="480" w:val="left"/>
        </w:tabs>
        <w:numPr>
          <w:ilvl w:val="0"/>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Additional Rules for Awards Subject to Section 409A.</w:t>
      </w:r>
    </w:p>
    <w:p>
      <w:pPr>
        <w:spacing w:after="0" w:line="234" w:lineRule="exact"/>
        <w:rPr>
          <w:rFonts w:ascii="Times New Roman" w:cs="Times New Roman" w:eastAsia="Times New Roman" w:hAnsi="Times New Roman"/>
          <w:sz w:val="22"/>
          <w:szCs w:val="22"/>
          <w:b w:val="1"/>
          <w:bCs w:val="1"/>
          <w:color w:val="auto"/>
        </w:rPr>
      </w:pPr>
    </w:p>
    <w:p>
      <w:pPr>
        <w:ind w:right="100" w:firstLine="656"/>
        <w:spacing w:after="0" w:line="261" w:lineRule="auto"/>
        <w:tabs>
          <w:tab w:leader="none" w:pos="1116" w:val="left"/>
        </w:tabs>
        <w:numPr>
          <w:ilvl w:val="1"/>
          <w:numId w:val="6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b w:val="1"/>
          <w:bCs w:val="1"/>
          <w:color w:val="auto"/>
        </w:rPr>
        <w:t xml:space="preserve">Application. </w:t>
      </w:r>
      <w:r>
        <w:rPr>
          <w:rFonts w:ascii="Times New Roman" w:cs="Times New Roman" w:eastAsia="Times New Roman" w:hAnsi="Times New Roman"/>
          <w:sz w:val="17"/>
          <w:szCs w:val="17"/>
          <w:color w:val="auto"/>
        </w:rPr>
        <w:t>Unless the provisions of this Section of the Plan are expressly superseded by the provisions in the form of Award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provisions of this Section shall apply and shall supersede anything to the contrary set forth in the Award Agreement for a Non-Exempt Award.</w:t>
      </w:r>
    </w:p>
    <w:p>
      <w:pPr>
        <w:spacing w:after="0" w:line="213" w:lineRule="exact"/>
        <w:rPr>
          <w:rFonts w:ascii="Times New Roman" w:cs="Times New Roman" w:eastAsia="Times New Roman" w:hAnsi="Times New Roman"/>
          <w:sz w:val="21"/>
          <w:szCs w:val="21"/>
          <w:b w:val="1"/>
          <w:bCs w:val="1"/>
          <w:color w:val="auto"/>
        </w:rPr>
      </w:pPr>
    </w:p>
    <w:p>
      <w:pPr>
        <w:ind w:right="100" w:firstLine="656"/>
        <w:spacing w:after="0" w:line="237" w:lineRule="auto"/>
        <w:tabs>
          <w:tab w:leader="none" w:pos="1128" w:val="left"/>
        </w:tabs>
        <w:numPr>
          <w:ilvl w:val="1"/>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due to application of a Non-Exempt Severance Arrangement, the following provisions of this subsection (b) apply.</w:t>
      </w:r>
    </w:p>
    <w:p>
      <w:pPr>
        <w:spacing w:after="0" w:line="238" w:lineRule="exact"/>
        <w:rPr>
          <w:rFonts w:ascii="Times New Roman" w:cs="Times New Roman" w:eastAsia="Times New Roman" w:hAnsi="Times New Roman"/>
          <w:sz w:val="22"/>
          <w:szCs w:val="22"/>
          <w:b w:val="1"/>
          <w:bCs w:val="1"/>
          <w:color w:val="auto"/>
        </w:rPr>
      </w:pPr>
    </w:p>
    <w:p>
      <w:pPr>
        <w:ind w:left="80" w:right="20" w:firstLine="1305"/>
        <w:spacing w:after="0" w:line="234" w:lineRule="auto"/>
        <w:tabs>
          <w:tab w:leader="none" w:pos="1796" w:val="left"/>
        </w:tabs>
        <w:numPr>
          <w:ilvl w:val="2"/>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156" w:lineRule="exact"/>
        <w:rPr>
          <w:rFonts w:ascii="Times New Roman" w:cs="Times New Roman" w:eastAsia="Times New Roman" w:hAnsi="Times New Roman"/>
          <w:sz w:val="22"/>
          <w:szCs w:val="22"/>
          <w:b w:val="1"/>
          <w:bCs w:val="1"/>
          <w:color w:val="auto"/>
        </w:rPr>
      </w:pPr>
    </w:p>
    <w:p>
      <w:pPr>
        <w:ind w:left="80" w:right="20" w:firstLine="1305"/>
        <w:spacing w:after="0"/>
        <w:tabs>
          <w:tab w:leader="none" w:pos="1856" w:val="left"/>
        </w:tabs>
        <w:numPr>
          <w:ilvl w:val="2"/>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vesting of the Non-Exempt Award accelerates under the terms of a Non-Exempt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238" w:lineRule="exact"/>
        <w:rPr>
          <w:rFonts w:ascii="Times New Roman" w:cs="Times New Roman" w:eastAsia="Times New Roman" w:hAnsi="Times New Roman"/>
          <w:sz w:val="22"/>
          <w:szCs w:val="22"/>
          <w:b w:val="1"/>
          <w:bCs w:val="1"/>
          <w:color w:val="auto"/>
        </w:rPr>
      </w:pPr>
    </w:p>
    <w:p>
      <w:pPr>
        <w:jc w:val="both"/>
        <w:ind w:left="80" w:right="240" w:firstLine="1305"/>
        <w:spacing w:after="0" w:line="239" w:lineRule="auto"/>
        <w:tabs>
          <w:tab w:leader="none" w:pos="1916" w:val="left"/>
        </w:tabs>
        <w:numPr>
          <w:ilvl w:val="2"/>
          <w:numId w:val="6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41" w:lineRule="exact"/>
        <w:rPr>
          <w:sz w:val="20"/>
          <w:szCs w:val="20"/>
          <w:color w:val="auto"/>
        </w:rPr>
      </w:pPr>
    </w:p>
    <w:p>
      <w:pPr>
        <w:ind w:left="80" w:right="20"/>
        <w:spacing w:after="0" w:line="261" w:lineRule="auto"/>
        <w:rPr>
          <w:sz w:val="20"/>
          <w:szCs w:val="20"/>
          <w:color w:val="auto"/>
        </w:rPr>
      </w:pPr>
      <w:r>
        <w:rPr>
          <w:rFonts w:ascii="Times New Roman" w:cs="Times New Roman" w:eastAsia="Times New Roman" w:hAnsi="Times New Roman"/>
          <w:sz w:val="18"/>
          <w:szCs w:val="18"/>
          <w:color w:val="auto"/>
        </w:rPr>
        <w:t>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201" w:lineRule="exact"/>
        <w:rPr>
          <w:sz w:val="20"/>
          <w:szCs w:val="20"/>
          <w:color w:val="auto"/>
        </w:rPr>
      </w:pPr>
    </w:p>
    <w:p>
      <w:pPr>
        <w:ind w:left="1120" w:hanging="464"/>
        <w:spacing w:after="0"/>
        <w:tabs>
          <w:tab w:leader="none" w:pos="1120" w:val="left"/>
        </w:tabs>
        <w:numPr>
          <w:ilvl w:val="1"/>
          <w:numId w:val="6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w:t>
      </w:r>
    </w:p>
    <w:p>
      <w:pPr>
        <w:spacing w:after="0" w:line="1" w:lineRule="exact"/>
        <w:rPr>
          <w:rFonts w:ascii="Times New Roman" w:cs="Times New Roman" w:eastAsia="Times New Roman" w:hAnsi="Times New Roman"/>
          <w:sz w:val="22"/>
          <w:szCs w:val="22"/>
          <w:b w:val="1"/>
          <w:bCs w:val="1"/>
          <w:color w:val="auto"/>
        </w:rPr>
      </w:pPr>
    </w:p>
    <w:p>
      <w:pPr>
        <w:ind w:right="420" w:firstLine="8"/>
        <w:spacing w:after="0" w:line="254" w:lineRule="auto"/>
        <w:tabs>
          <w:tab w:leader="none" w:pos="24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Non-Exempt Award in connection with a Corporate Transaction if the Participant was either an Employee or Consultant upon the applicable date of grant of the Non-Exempt Award.</w:t>
      </w:r>
    </w:p>
    <w:p>
      <w:pPr>
        <w:spacing w:after="0" w:line="208" w:lineRule="exact"/>
        <w:rPr>
          <w:rFonts w:ascii="Times New Roman" w:cs="Times New Roman" w:eastAsia="Times New Roman" w:hAnsi="Times New Roman"/>
          <w:sz w:val="18"/>
          <w:szCs w:val="18"/>
          <w:color w:val="auto"/>
        </w:rPr>
      </w:pPr>
    </w:p>
    <w:p>
      <w:pPr>
        <w:ind w:left="1800" w:hanging="415"/>
        <w:spacing w:after="0"/>
        <w:tabs>
          <w:tab w:leader="none" w:pos="1800" w:val="left"/>
        </w:tabs>
        <w:numPr>
          <w:ilvl w:val="2"/>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w:t>
      </w:r>
    </w:p>
    <w:p>
      <w:pPr>
        <w:spacing w:after="0" w:line="1" w:lineRule="exact"/>
        <w:rPr>
          <w:rFonts w:ascii="Times New Roman" w:cs="Times New Roman" w:eastAsia="Times New Roman" w:hAnsi="Times New Roman"/>
          <w:sz w:val="22"/>
          <w:szCs w:val="22"/>
          <w:b w:val="1"/>
          <w:bCs w:val="1"/>
          <w:color w:val="auto"/>
        </w:rPr>
      </w:pPr>
    </w:p>
    <w:p>
      <w:pPr>
        <w:ind w:left="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Corporate Transaction:</w:t>
      </w:r>
    </w:p>
    <w:p>
      <w:pPr>
        <w:spacing w:after="0" w:line="245" w:lineRule="exact"/>
        <w:rPr>
          <w:rFonts w:ascii="Times New Roman" w:cs="Times New Roman" w:eastAsia="Times New Roman" w:hAnsi="Times New Roman"/>
          <w:sz w:val="22"/>
          <w:szCs w:val="22"/>
          <w:b w:val="1"/>
          <w:bCs w:val="1"/>
          <w:color w:val="auto"/>
        </w:rPr>
      </w:pPr>
    </w:p>
    <w:p>
      <w:pPr>
        <w:ind w:right="400" w:firstLine="1952"/>
        <w:spacing w:after="0" w:line="248" w:lineRule="auto"/>
        <w:tabs>
          <w:tab w:leader="none" w:pos="2412" w:val="left"/>
        </w:tabs>
        <w:numPr>
          <w:ilvl w:val="3"/>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233" w:lineRule="exact"/>
        <w:rPr>
          <w:rFonts w:ascii="Times New Roman" w:cs="Times New Roman" w:eastAsia="Times New Roman" w:hAnsi="Times New Roman"/>
          <w:sz w:val="22"/>
          <w:szCs w:val="22"/>
          <w:b w:val="1"/>
          <w:bCs w:val="1"/>
          <w:color w:val="auto"/>
        </w:rPr>
      </w:pPr>
    </w:p>
    <w:p>
      <w:pPr>
        <w:ind w:right="80" w:firstLine="1952"/>
        <w:spacing w:after="0" w:line="245" w:lineRule="auto"/>
        <w:tabs>
          <w:tab w:leader="none" w:pos="2412" w:val="left"/>
        </w:tabs>
        <w:numPr>
          <w:ilvl w:val="3"/>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233" w:lineRule="exact"/>
        <w:rPr>
          <w:rFonts w:ascii="Times New Roman" w:cs="Times New Roman" w:eastAsia="Times New Roman" w:hAnsi="Times New Roman"/>
          <w:sz w:val="22"/>
          <w:szCs w:val="22"/>
          <w:b w:val="1"/>
          <w:bCs w:val="1"/>
          <w:color w:val="auto"/>
        </w:rPr>
      </w:pPr>
    </w:p>
    <w:p>
      <w:pPr>
        <w:ind w:left="80" w:right="320" w:firstLine="1305"/>
        <w:spacing w:after="0" w:line="237" w:lineRule="auto"/>
        <w:tabs>
          <w:tab w:leader="none" w:pos="1856" w:val="left"/>
        </w:tabs>
        <w:numPr>
          <w:ilvl w:val="2"/>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238" w:lineRule="exact"/>
        <w:rPr>
          <w:rFonts w:ascii="Times New Roman" w:cs="Times New Roman" w:eastAsia="Times New Roman" w:hAnsi="Times New Roman"/>
          <w:sz w:val="22"/>
          <w:szCs w:val="22"/>
          <w:b w:val="1"/>
          <w:bCs w:val="1"/>
          <w:color w:val="auto"/>
        </w:rPr>
      </w:pPr>
    </w:p>
    <w:p>
      <w:pPr>
        <w:ind w:right="200" w:firstLine="1952"/>
        <w:spacing w:after="0" w:line="246" w:lineRule="auto"/>
        <w:tabs>
          <w:tab w:leader="none" w:pos="2412" w:val="left"/>
        </w:tabs>
        <w:numPr>
          <w:ilvl w:val="3"/>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236" w:lineRule="exact"/>
        <w:rPr>
          <w:rFonts w:ascii="Times New Roman" w:cs="Times New Roman" w:eastAsia="Times New Roman" w:hAnsi="Times New Roman"/>
          <w:sz w:val="22"/>
          <w:szCs w:val="22"/>
          <w:b w:val="1"/>
          <w:bCs w:val="1"/>
          <w:color w:val="auto"/>
        </w:rPr>
      </w:pPr>
    </w:p>
    <w:p>
      <w:pPr>
        <w:ind w:firstLine="1952"/>
        <w:spacing w:after="0" w:line="247" w:lineRule="auto"/>
        <w:tabs>
          <w:tab w:leader="none" w:pos="2412" w:val="left"/>
        </w:tabs>
        <w:numPr>
          <w:ilvl w:val="3"/>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232" w:lineRule="exact"/>
        <w:rPr>
          <w:rFonts w:ascii="Times New Roman" w:cs="Times New Roman" w:eastAsia="Times New Roman" w:hAnsi="Times New Roman"/>
          <w:sz w:val="22"/>
          <w:szCs w:val="22"/>
          <w:b w:val="1"/>
          <w:bCs w:val="1"/>
          <w:color w:val="auto"/>
        </w:rPr>
      </w:pPr>
    </w:p>
    <w:p>
      <w:pPr>
        <w:ind w:right="220" w:firstLine="1952"/>
        <w:spacing w:after="0" w:line="244" w:lineRule="auto"/>
        <w:tabs>
          <w:tab w:leader="none" w:pos="2412" w:val="left"/>
        </w:tabs>
        <w:numPr>
          <w:ilvl w:val="3"/>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230" w:lineRule="exact"/>
        <w:rPr>
          <w:rFonts w:ascii="Times New Roman" w:cs="Times New Roman" w:eastAsia="Times New Roman" w:hAnsi="Times New Roman"/>
          <w:sz w:val="22"/>
          <w:szCs w:val="22"/>
          <w:b w:val="1"/>
          <w:bCs w:val="1"/>
          <w:color w:val="auto"/>
        </w:rPr>
      </w:pPr>
    </w:p>
    <w:p>
      <w:pPr>
        <w:ind w:right="280" w:firstLine="656"/>
        <w:spacing w:after="0" w:line="241" w:lineRule="auto"/>
        <w:tabs>
          <w:tab w:leader="none" w:pos="1128" w:val="left"/>
        </w:tabs>
        <w:numPr>
          <w:ilvl w:val="1"/>
          <w:numId w:val="6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82" w:lineRule="exact"/>
        <w:rPr>
          <w:sz w:val="20"/>
          <w:szCs w:val="20"/>
          <w:color w:val="auto"/>
        </w:rPr>
      </w:pPr>
    </w:p>
    <w:p>
      <w:pPr>
        <w:ind w:left="80" w:right="20" w:firstLine="1305"/>
        <w:spacing w:after="0" w:line="244" w:lineRule="auto"/>
        <w:tabs>
          <w:tab w:leader="none" w:pos="1796"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 that would otherwise be issued to the Participant upon the Section 409A Change in Control pursuant to the preceding provision.</w:t>
      </w:r>
    </w:p>
    <w:p>
      <w:pPr>
        <w:spacing w:after="0" w:line="237" w:lineRule="exact"/>
        <w:rPr>
          <w:rFonts w:ascii="Times New Roman" w:cs="Times New Roman" w:eastAsia="Times New Roman" w:hAnsi="Times New Roman"/>
          <w:sz w:val="22"/>
          <w:szCs w:val="22"/>
          <w:b w:val="1"/>
          <w:bCs w:val="1"/>
          <w:color w:val="auto"/>
        </w:rPr>
      </w:pPr>
    </w:p>
    <w:p>
      <w:pPr>
        <w:ind w:left="80" w:right="60" w:firstLine="1305"/>
        <w:spacing w:after="0" w:line="246" w:lineRule="auto"/>
        <w:tabs>
          <w:tab w:leader="none" w:pos="1856" w:val="left"/>
        </w:tabs>
        <w:numPr>
          <w:ilvl w:val="1"/>
          <w:numId w:val="6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236" w:lineRule="exact"/>
        <w:rPr>
          <w:rFonts w:ascii="Times New Roman" w:cs="Times New Roman" w:eastAsia="Times New Roman" w:hAnsi="Times New Roman"/>
          <w:sz w:val="22"/>
          <w:szCs w:val="22"/>
          <w:b w:val="1"/>
          <w:bCs w:val="1"/>
          <w:color w:val="auto"/>
        </w:rPr>
      </w:pPr>
    </w:p>
    <w:p>
      <w:pPr>
        <w:ind w:right="120" w:firstLine="656"/>
        <w:spacing w:after="0" w:line="244" w:lineRule="auto"/>
        <w:tabs>
          <w:tab w:leader="none" w:pos="1104" w:val="left"/>
        </w:tabs>
        <w:numPr>
          <w:ilvl w:val="0"/>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234" w:lineRule="exact"/>
        <w:rPr>
          <w:rFonts w:ascii="Times New Roman" w:cs="Times New Roman" w:eastAsia="Times New Roman" w:hAnsi="Times New Roman"/>
          <w:sz w:val="22"/>
          <w:szCs w:val="22"/>
          <w:b w:val="1"/>
          <w:bCs w:val="1"/>
          <w:color w:val="auto"/>
        </w:rPr>
      </w:pPr>
    </w:p>
    <w:p>
      <w:pPr>
        <w:ind w:left="80" w:firstLine="1305"/>
        <w:spacing w:after="0" w:line="239" w:lineRule="auto"/>
        <w:tabs>
          <w:tab w:leader="none" w:pos="1796"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Any exercise by the Board of discretion to accelerate the vesting of a Non-Exempt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240" w:lineRule="exact"/>
        <w:rPr>
          <w:rFonts w:ascii="Times New Roman" w:cs="Times New Roman" w:eastAsia="Times New Roman" w:hAnsi="Times New Roman"/>
          <w:sz w:val="22"/>
          <w:szCs w:val="22"/>
          <w:b w:val="1"/>
          <w:bCs w:val="1"/>
          <w:color w:val="auto"/>
        </w:rPr>
      </w:pPr>
    </w:p>
    <w:p>
      <w:pPr>
        <w:ind w:left="80" w:right="40" w:firstLine="1305"/>
        <w:spacing w:after="0" w:line="234" w:lineRule="auto"/>
        <w:tabs>
          <w:tab w:leader="none" w:pos="1856"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1.409A-3(j)(4)(ix).</w:t>
      </w:r>
    </w:p>
    <w:p>
      <w:pPr>
        <w:spacing w:after="0" w:line="240" w:lineRule="exact"/>
        <w:rPr>
          <w:rFonts w:ascii="Times New Roman" w:cs="Times New Roman" w:eastAsia="Times New Roman" w:hAnsi="Times New Roman"/>
          <w:sz w:val="22"/>
          <w:szCs w:val="22"/>
          <w:b w:val="1"/>
          <w:bCs w:val="1"/>
          <w:color w:val="auto"/>
        </w:rPr>
      </w:pPr>
    </w:p>
    <w:p>
      <w:pPr>
        <w:ind w:left="80" w:right="80" w:firstLine="1305"/>
        <w:spacing w:after="0" w:line="247" w:lineRule="auto"/>
        <w:tabs>
          <w:tab w:leader="none" w:pos="1916"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235" w:lineRule="exact"/>
        <w:rPr>
          <w:rFonts w:ascii="Times New Roman" w:cs="Times New Roman" w:eastAsia="Times New Roman" w:hAnsi="Times New Roman"/>
          <w:sz w:val="22"/>
          <w:szCs w:val="22"/>
          <w:b w:val="1"/>
          <w:bCs w:val="1"/>
          <w:color w:val="auto"/>
        </w:rPr>
      </w:pPr>
    </w:p>
    <w:p>
      <w:pPr>
        <w:ind w:left="80" w:right="80" w:firstLine="1305"/>
        <w:spacing w:after="0" w:line="239" w:lineRule="auto"/>
        <w:tabs>
          <w:tab w:leader="none" w:pos="1904" w:val="left"/>
        </w:tabs>
        <w:numPr>
          <w:ilvl w:val="1"/>
          <w:numId w:val="6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222" w:lineRule="exact"/>
        <w:rPr>
          <w:sz w:val="20"/>
          <w:szCs w:val="20"/>
          <w:color w:val="auto"/>
        </w:rPr>
      </w:pPr>
    </w:p>
    <w:p>
      <w:pPr>
        <w:ind w:left="500" w:hanging="492"/>
        <w:spacing w:after="0"/>
        <w:tabs>
          <w:tab w:leader="none" w:pos="500" w:val="left"/>
        </w:tabs>
        <w:numPr>
          <w:ilvl w:val="0"/>
          <w:numId w:val="6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Severability.</w:t>
      </w:r>
    </w:p>
    <w:p>
      <w:pPr>
        <w:spacing w:after="0" w:line="211"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1" w:lineRule="exact"/>
        <w:rPr>
          <w:sz w:val="20"/>
          <w:szCs w:val="20"/>
          <w:color w:val="auto"/>
        </w:rPr>
      </w:pPr>
    </w:p>
    <w:p>
      <w:pPr>
        <w:ind w:left="500" w:hanging="492"/>
        <w:spacing w:after="0"/>
        <w:tabs>
          <w:tab w:leader="none" w:pos="500" w:val="left"/>
        </w:tabs>
        <w:numPr>
          <w:ilvl w:val="0"/>
          <w:numId w:val="7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Termination of the Plan.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may suspend or terminate the Plan at any time.</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 Incentive Stock Options may be granted after the tenth anniversary of the earlier of: (i) the Adoption Date, or (ii) the date the Plan is approved by the Company’s stockholders.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Awards may be granted under the Plan while the Plan is suspended or after it is terminated.</w:t>
      </w:r>
    </w:p>
    <w:p>
      <w:pPr>
        <w:spacing w:after="0" w:line="247" w:lineRule="exact"/>
        <w:rPr>
          <w:sz w:val="20"/>
          <w:szCs w:val="20"/>
          <w:color w:val="auto"/>
        </w:rPr>
      </w:pPr>
    </w:p>
    <w:p>
      <w:pPr>
        <w:ind w:left="500" w:hanging="492"/>
        <w:spacing w:after="0"/>
        <w:tabs>
          <w:tab w:leader="none" w:pos="500" w:val="left"/>
        </w:tabs>
        <w:numPr>
          <w:ilvl w:val="0"/>
          <w:numId w:val="7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b w:val="1"/>
          <w:bCs w:val="1"/>
          <w:color w:val="auto"/>
        </w:rPr>
        <w:t>Definitions.</w:t>
      </w:r>
    </w:p>
    <w:p>
      <w:pPr>
        <w:spacing w:after="0" w:line="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227" w:lineRule="exact"/>
        <w:rPr>
          <w:sz w:val="20"/>
          <w:szCs w:val="20"/>
          <w:color w:val="auto"/>
        </w:rPr>
      </w:pPr>
    </w:p>
    <w:p>
      <w:pPr>
        <w:ind w:left="1120" w:hanging="464"/>
        <w:spacing w:after="0"/>
        <w:tabs>
          <w:tab w:leader="none" w:pos="112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219"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247" w:lineRule="exact"/>
        <w:rPr>
          <w:rFonts w:ascii="Times New Roman" w:cs="Times New Roman" w:eastAsia="Times New Roman" w:hAnsi="Times New Roman"/>
          <w:sz w:val="22"/>
          <w:szCs w:val="22"/>
          <w:b w:val="1"/>
          <w:bCs w:val="1"/>
          <w:color w:val="auto"/>
        </w:rPr>
      </w:pPr>
    </w:p>
    <w:p>
      <w:pPr>
        <w:jc w:val="both"/>
        <w:ind w:right="620" w:firstLine="656"/>
        <w:spacing w:after="0" w:line="241" w:lineRule="auto"/>
        <w:tabs>
          <w:tab w:leader="none" w:pos="1104"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234" w:lineRule="exact"/>
        <w:rPr>
          <w:rFonts w:ascii="Times New Roman" w:cs="Times New Roman" w:eastAsia="Times New Roman" w:hAnsi="Times New Roman"/>
          <w:sz w:val="22"/>
          <w:szCs w:val="22"/>
          <w:b w:val="1"/>
          <w:bCs w:val="1"/>
          <w:color w:val="auto"/>
        </w:rPr>
      </w:pPr>
    </w:p>
    <w:p>
      <w:pPr>
        <w:jc w:val="both"/>
        <w:ind w:right="80" w:firstLine="656"/>
        <w:spacing w:after="0" w:line="245" w:lineRule="auto"/>
        <w:tabs>
          <w:tab w:leader="none" w:pos="1128"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shall mean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self-regulating organization such as the Nasdaq Stock Market, New York Stock Exchange, or the Financial Industry Regulatory Authority).</w:t>
      </w:r>
    </w:p>
    <w:p>
      <w:pPr>
        <w:spacing w:after="0" w:line="233" w:lineRule="exact"/>
        <w:rPr>
          <w:rFonts w:ascii="Times New Roman" w:cs="Times New Roman" w:eastAsia="Times New Roman" w:hAnsi="Times New Roman"/>
          <w:sz w:val="22"/>
          <w:szCs w:val="22"/>
          <w:b w:val="1"/>
          <w:bCs w:val="1"/>
          <w:color w:val="auto"/>
        </w:rPr>
      </w:pPr>
    </w:p>
    <w:p>
      <w:pPr>
        <w:ind w:right="160" w:firstLine="656"/>
        <w:spacing w:after="0" w:line="237" w:lineRule="auto"/>
        <w:tabs>
          <w:tab w:leader="none" w:pos="1104"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 RSU Award, a SAR, a Performance Award or any Other Award).</w:t>
      </w:r>
    </w:p>
    <w:p>
      <w:pPr>
        <w:spacing w:after="0" w:line="234" w:lineRule="exact"/>
        <w:rPr>
          <w:rFonts w:ascii="Times New Roman" w:cs="Times New Roman" w:eastAsia="Times New Roman" w:hAnsi="Times New Roman"/>
          <w:sz w:val="22"/>
          <w:szCs w:val="22"/>
          <w:b w:val="1"/>
          <w:bCs w:val="1"/>
          <w:color w:val="auto"/>
        </w:rPr>
      </w:pPr>
    </w:p>
    <w:p>
      <w:pPr>
        <w:ind w:right="160" w:firstLine="656"/>
        <w:spacing w:after="0" w:line="241" w:lineRule="auto"/>
        <w:tabs>
          <w:tab w:leader="none" w:pos="1080"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to a Participant along with the Grant Notice.</w:t>
      </w:r>
    </w:p>
    <w:p>
      <w:pPr>
        <w:spacing w:after="0" w:line="234" w:lineRule="exact"/>
        <w:rPr>
          <w:rFonts w:ascii="Times New Roman" w:cs="Times New Roman" w:eastAsia="Times New Roman" w:hAnsi="Times New Roman"/>
          <w:sz w:val="22"/>
          <w:szCs w:val="22"/>
          <w:b w:val="1"/>
          <w:bCs w:val="1"/>
          <w:color w:val="auto"/>
        </w:rPr>
      </w:pPr>
    </w:p>
    <w:p>
      <w:pPr>
        <w:ind w:right="80" w:firstLine="656"/>
        <w:spacing w:after="0" w:line="248" w:lineRule="auto"/>
        <w:tabs>
          <w:tab w:leader="none" w:pos="1116"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228" w:lineRule="exact"/>
        <w:rPr>
          <w:rFonts w:ascii="Times New Roman" w:cs="Times New Roman" w:eastAsia="Times New Roman" w:hAnsi="Times New Roman"/>
          <w:sz w:val="22"/>
          <w:szCs w:val="22"/>
          <w:b w:val="1"/>
          <w:bCs w:val="1"/>
          <w:color w:val="auto"/>
        </w:rPr>
      </w:pPr>
    </w:p>
    <w:p>
      <w:pPr>
        <w:ind w:right="20" w:firstLine="656"/>
        <w:spacing w:after="0" w:line="246" w:lineRule="auto"/>
        <w:tabs>
          <w:tab w:leader="none" w:pos="1128"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32" w:lineRule="exact"/>
        <w:rPr>
          <w:rFonts w:ascii="Times New Roman" w:cs="Times New Roman" w:eastAsia="Times New Roman" w:hAnsi="Times New Roman"/>
          <w:sz w:val="22"/>
          <w:szCs w:val="22"/>
          <w:b w:val="1"/>
          <w:bCs w:val="1"/>
          <w:color w:val="auto"/>
        </w:rPr>
      </w:pPr>
    </w:p>
    <w:p>
      <w:pPr>
        <w:ind w:right="120" w:firstLine="656"/>
        <w:spacing w:after="0" w:line="248" w:lineRule="auto"/>
        <w:tabs>
          <w:tab w:leader="none" w:pos="1068" w:val="left"/>
        </w:tabs>
        <w:numPr>
          <w:ilvl w:val="0"/>
          <w:numId w:val="7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or any of its employees or directors; (iii) such Participant’s material violation of any contract or agreement between the Participant and the Company, the Company’s employment policies or of any statutory or other duty owed to the Company; (iv) such Participant’s unauthorized use or disclosure of the Company’s confidential information or trade secrets; (v) such Participant’s gross misconduct; (vi) such Participant’s failure or refusal to comply with a material directive from the Board, the Participant’s supervisor or, if applicable, the board of directors of any Affiliate; or (vii) such Participant’s breach of a fiduciary duty to the Company.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right="100" w:firstLine="656"/>
        <w:spacing w:after="0" w:line="241" w:lineRule="auto"/>
        <w:tabs>
          <w:tab w:leader="none" w:pos="1080" w:val="left"/>
        </w:tabs>
        <w:numPr>
          <w:ilvl w:val="0"/>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 provided, however, to the extent necessary to avoid adverse personal income tax consequences to the Participant in connection with an Award, also constitutes a Section 409A Change in Control:</w:t>
      </w:r>
    </w:p>
    <w:p>
      <w:pPr>
        <w:spacing w:after="0" w:line="238" w:lineRule="exact"/>
        <w:rPr>
          <w:rFonts w:ascii="Times New Roman" w:cs="Times New Roman" w:eastAsia="Times New Roman" w:hAnsi="Times New Roman"/>
          <w:sz w:val="22"/>
          <w:szCs w:val="22"/>
          <w:b w:val="1"/>
          <w:bCs w:val="1"/>
          <w:color w:val="auto"/>
        </w:rPr>
      </w:pPr>
    </w:p>
    <w:p>
      <w:pPr>
        <w:ind w:left="80" w:right="20" w:firstLine="1305"/>
        <w:spacing w:after="0" w:line="248" w:lineRule="auto"/>
        <w:tabs>
          <w:tab w:leader="none" w:pos="1796"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232" w:lineRule="exact"/>
        <w:rPr>
          <w:rFonts w:ascii="Times New Roman" w:cs="Times New Roman" w:eastAsia="Times New Roman" w:hAnsi="Times New Roman"/>
          <w:sz w:val="22"/>
          <w:szCs w:val="22"/>
          <w:b w:val="1"/>
          <w:bCs w:val="1"/>
          <w:color w:val="auto"/>
        </w:rPr>
      </w:pPr>
    </w:p>
    <w:p>
      <w:pPr>
        <w:ind w:left="80" w:right="120" w:firstLine="1305"/>
        <w:spacing w:after="0" w:line="248" w:lineRule="auto"/>
        <w:tabs>
          <w:tab w:leader="none" w:pos="1856"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235" w:lineRule="exact"/>
        <w:rPr>
          <w:rFonts w:ascii="Times New Roman" w:cs="Times New Roman" w:eastAsia="Times New Roman" w:hAnsi="Times New Roman"/>
          <w:sz w:val="22"/>
          <w:szCs w:val="22"/>
          <w:b w:val="1"/>
          <w:bCs w:val="1"/>
          <w:color w:val="auto"/>
        </w:rPr>
      </w:pPr>
    </w:p>
    <w:p>
      <w:pPr>
        <w:ind w:left="80" w:right="120" w:firstLine="1305"/>
        <w:spacing w:after="0" w:line="244" w:lineRule="auto"/>
        <w:tabs>
          <w:tab w:leader="none" w:pos="1916"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233" w:lineRule="exact"/>
        <w:rPr>
          <w:rFonts w:ascii="Times New Roman" w:cs="Times New Roman" w:eastAsia="Times New Roman" w:hAnsi="Times New Roman"/>
          <w:sz w:val="22"/>
          <w:szCs w:val="22"/>
          <w:b w:val="1"/>
          <w:bCs w:val="1"/>
          <w:color w:val="auto"/>
        </w:rPr>
      </w:pPr>
    </w:p>
    <w:p>
      <w:pPr>
        <w:jc w:val="both"/>
        <w:ind w:left="80" w:right="60" w:firstLine="1305"/>
        <w:spacing w:after="0" w:line="244" w:lineRule="auto"/>
        <w:tabs>
          <w:tab w:leader="none" w:pos="1904" w:val="left"/>
        </w:tabs>
        <w:numPr>
          <w:ilvl w:val="1"/>
          <w:numId w:val="7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19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w:t>
      </w:r>
    </w:p>
    <w:p>
      <w:pPr>
        <w:spacing w:after="0" w:line="205" w:lineRule="exact"/>
        <w:rPr>
          <w:sz w:val="20"/>
          <w:szCs w:val="20"/>
          <w:color w:val="auto"/>
        </w:rPr>
      </w:pPr>
    </w:p>
    <w:p>
      <w:pPr>
        <w:ind w:left="1180" w:hanging="524"/>
        <w:spacing w:after="0"/>
        <w:tabs>
          <w:tab w:leader="none" w:pos="118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34" w:lineRule="exact"/>
        <w:rPr>
          <w:rFonts w:ascii="Times New Roman" w:cs="Times New Roman" w:eastAsia="Times New Roman" w:hAnsi="Times New Roman"/>
          <w:sz w:val="22"/>
          <w:szCs w:val="22"/>
          <w:b w:val="1"/>
          <w:bCs w:val="1"/>
          <w:color w:val="auto"/>
        </w:rPr>
      </w:pPr>
    </w:p>
    <w:p>
      <w:pPr>
        <w:ind w:right="20" w:firstLine="656"/>
        <w:spacing w:after="0" w:line="237" w:lineRule="auto"/>
        <w:tabs>
          <w:tab w:leader="none" w:pos="1068"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Directors to whom authority has been delegated by the Board or Compensation Committee in accordance with the Plan.</w:t>
      </w:r>
    </w:p>
    <w:p>
      <w:pPr>
        <w:spacing w:after="0" w:line="219" w:lineRule="exact"/>
        <w:rPr>
          <w:rFonts w:ascii="Times New Roman" w:cs="Times New Roman" w:eastAsia="Times New Roman" w:hAnsi="Times New Roman"/>
          <w:sz w:val="22"/>
          <w:szCs w:val="22"/>
          <w:b w:val="1"/>
          <w:bCs w:val="1"/>
          <w:color w:val="auto"/>
        </w:rPr>
      </w:pPr>
    </w:p>
    <w:p>
      <w:pPr>
        <w:ind w:left="1200" w:hanging="544"/>
        <w:spacing w:after="0"/>
        <w:tabs>
          <w:tab w:leader="none" w:pos="120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33"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MacroGenics, Inc., a Delaware corporation.</w:t>
      </w:r>
    </w:p>
    <w:p>
      <w:pPr>
        <w:spacing w:after="0" w:line="219"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0"/>
          <w:numId w:val="7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right="100" w:firstLine="656"/>
        <w:spacing w:after="0" w:line="245" w:lineRule="auto"/>
        <w:tabs>
          <w:tab w:leader="none" w:pos="112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233" w:lineRule="exact"/>
        <w:rPr>
          <w:rFonts w:ascii="Times New Roman" w:cs="Times New Roman" w:eastAsia="Times New Roman" w:hAnsi="Times New Roman"/>
          <w:sz w:val="22"/>
          <w:szCs w:val="22"/>
          <w:b w:val="1"/>
          <w:bCs w:val="1"/>
          <w:color w:val="auto"/>
        </w:rPr>
      </w:pPr>
    </w:p>
    <w:p>
      <w:pPr>
        <w:ind w:firstLine="656"/>
        <w:spacing w:after="0" w:line="249" w:lineRule="auto"/>
        <w:tabs>
          <w:tab w:leader="none" w:pos="112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227" w:lineRule="exact"/>
        <w:rPr>
          <w:rFonts w:ascii="Times New Roman" w:cs="Times New Roman" w:eastAsia="Times New Roman" w:hAnsi="Times New Roman"/>
          <w:sz w:val="22"/>
          <w:szCs w:val="22"/>
          <w:b w:val="1"/>
          <w:bCs w:val="1"/>
          <w:color w:val="auto"/>
        </w:rPr>
      </w:pPr>
    </w:p>
    <w:p>
      <w:pPr>
        <w:ind w:right="240" w:firstLine="656"/>
        <w:spacing w:after="0" w:line="249" w:lineRule="auto"/>
        <w:tabs>
          <w:tab w:leader="none" w:pos="1104"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210" w:lineRule="exact"/>
        <w:rPr>
          <w:rFonts w:ascii="Times New Roman" w:cs="Times New Roman" w:eastAsia="Times New Roman" w:hAnsi="Times New Roman"/>
          <w:sz w:val="22"/>
          <w:szCs w:val="22"/>
          <w:b w:val="1"/>
          <w:bCs w:val="1"/>
          <w:color w:val="auto"/>
        </w:rPr>
      </w:pPr>
    </w:p>
    <w:p>
      <w:pPr>
        <w:ind w:left="1800" w:hanging="415"/>
        <w:spacing w:after="0"/>
        <w:tabs>
          <w:tab w:leader="none" w:pos="180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1" w:lineRule="exact"/>
        <w:rPr>
          <w:rFonts w:ascii="Times New Roman" w:cs="Times New Roman" w:eastAsia="Times New Roman" w:hAnsi="Times New Roman"/>
          <w:sz w:val="22"/>
          <w:szCs w:val="22"/>
          <w:b w:val="1"/>
          <w:bCs w:val="1"/>
          <w:color w:val="auto"/>
        </w:rPr>
      </w:pPr>
    </w:p>
    <w:p>
      <w:pPr>
        <w:ind w:left="8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Subsidiaries;</w:t>
      </w:r>
    </w:p>
    <w:p>
      <w:pPr>
        <w:spacing w:after="0" w:line="226" w:lineRule="exact"/>
        <w:rPr>
          <w:rFonts w:ascii="Times New Roman" w:cs="Times New Roman" w:eastAsia="Times New Roman" w:hAnsi="Times New Roman"/>
          <w:sz w:val="22"/>
          <w:szCs w:val="22"/>
          <w:b w:val="1"/>
          <w:bCs w:val="1"/>
          <w:color w:val="auto"/>
        </w:rPr>
      </w:pPr>
    </w:p>
    <w:p>
      <w:pPr>
        <w:ind w:left="1860" w:hanging="475"/>
        <w:spacing w:after="0"/>
        <w:tabs>
          <w:tab w:leader="none" w:pos="186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219" w:lineRule="exact"/>
        <w:rPr>
          <w:rFonts w:ascii="Times New Roman" w:cs="Times New Roman" w:eastAsia="Times New Roman" w:hAnsi="Times New Roman"/>
          <w:sz w:val="22"/>
          <w:szCs w:val="22"/>
          <w:b w:val="1"/>
          <w:bCs w:val="1"/>
          <w:color w:val="auto"/>
        </w:rPr>
      </w:pPr>
    </w:p>
    <w:p>
      <w:pPr>
        <w:ind w:left="1920" w:hanging="535"/>
        <w:spacing w:after="0"/>
        <w:tabs>
          <w:tab w:leader="none" w:pos="1920"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38" w:lineRule="exact"/>
        <w:rPr>
          <w:rFonts w:ascii="Times New Roman" w:cs="Times New Roman" w:eastAsia="Times New Roman" w:hAnsi="Times New Roman"/>
          <w:sz w:val="22"/>
          <w:szCs w:val="22"/>
          <w:b w:val="1"/>
          <w:bCs w:val="1"/>
          <w:color w:val="auto"/>
        </w:rPr>
      </w:pPr>
    </w:p>
    <w:p>
      <w:pPr>
        <w:ind w:left="80" w:right="240" w:firstLine="1305"/>
        <w:spacing w:after="0" w:line="239" w:lineRule="auto"/>
        <w:tabs>
          <w:tab w:leader="none" w:pos="1904" w:val="left"/>
        </w:tabs>
        <w:numPr>
          <w:ilvl w:val="1"/>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221" w:lineRule="exact"/>
        <w:rPr>
          <w:rFonts w:ascii="Times New Roman" w:cs="Times New Roman" w:eastAsia="Times New Roman" w:hAnsi="Times New Roman"/>
          <w:sz w:val="22"/>
          <w:szCs w:val="22"/>
          <w:b w:val="1"/>
          <w:bCs w:val="1"/>
          <w:color w:val="auto"/>
        </w:rPr>
      </w:pPr>
    </w:p>
    <w:p>
      <w:pPr>
        <w:ind w:left="1100" w:hanging="444"/>
        <w:spacing w:after="0"/>
        <w:tabs>
          <w:tab w:leader="none" w:pos="110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33" w:lineRule="exact"/>
        <w:rPr>
          <w:rFonts w:ascii="Times New Roman" w:cs="Times New Roman" w:eastAsia="Times New Roman" w:hAnsi="Times New Roman"/>
          <w:sz w:val="22"/>
          <w:szCs w:val="22"/>
          <w:b w:val="1"/>
          <w:bCs w:val="1"/>
          <w:color w:val="auto"/>
        </w:rPr>
      </w:pPr>
    </w:p>
    <w:p>
      <w:pPr>
        <w:ind w:left="1080" w:hanging="424"/>
        <w:spacing w:after="0"/>
        <w:tabs>
          <w:tab w:leader="none" w:pos="108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234" w:lineRule="exact"/>
        <w:rPr>
          <w:rFonts w:ascii="Times New Roman" w:cs="Times New Roman" w:eastAsia="Times New Roman" w:hAnsi="Times New Roman"/>
          <w:sz w:val="22"/>
          <w:szCs w:val="22"/>
          <w:b w:val="1"/>
          <w:bCs w:val="1"/>
          <w:color w:val="auto"/>
        </w:rPr>
      </w:pPr>
    </w:p>
    <w:p>
      <w:pPr>
        <w:ind w:right="280" w:firstLine="656"/>
        <w:spacing w:after="0" w:line="244" w:lineRule="auto"/>
        <w:tabs>
          <w:tab w:leader="none" w:pos="1128"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217"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date on which the Plan was approved by the Company’s stockholders.</w:t>
      </w:r>
    </w:p>
    <w:p>
      <w:pPr>
        <w:spacing w:after="0" w:line="234" w:lineRule="exact"/>
        <w:rPr>
          <w:rFonts w:ascii="Times New Roman" w:cs="Times New Roman" w:eastAsia="Times New Roman" w:hAnsi="Times New Roman"/>
          <w:sz w:val="22"/>
          <w:szCs w:val="22"/>
          <w:b w:val="1"/>
          <w:bCs w:val="1"/>
          <w:color w:val="auto"/>
        </w:rPr>
      </w:pPr>
    </w:p>
    <w:p>
      <w:pPr>
        <w:ind w:right="280" w:firstLine="656"/>
        <w:spacing w:after="0" w:line="237" w:lineRule="auto"/>
        <w:tabs>
          <w:tab w:leader="none" w:pos="1164"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219"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0"/>
          <w:numId w:val="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63" w:lineRule="exact"/>
        <w:rPr>
          <w:sz w:val="20"/>
          <w:szCs w:val="20"/>
          <w:color w:val="auto"/>
        </w:rPr>
      </w:pPr>
    </w:p>
    <w:p>
      <w:pPr>
        <w:ind w:left="1120" w:hanging="464"/>
        <w:spacing w:after="0"/>
        <w:tabs>
          <w:tab w:leader="none" w:pos="11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19" w:lineRule="exact"/>
        <w:rPr>
          <w:rFonts w:ascii="Times New Roman" w:cs="Times New Roman" w:eastAsia="Times New Roman" w:hAnsi="Times New Roman"/>
          <w:sz w:val="22"/>
          <w:szCs w:val="22"/>
          <w:b w:val="1"/>
          <w:bCs w:val="1"/>
          <w:color w:val="auto"/>
        </w:rPr>
      </w:pPr>
    </w:p>
    <w:p>
      <w:pPr>
        <w:ind w:left="1120" w:hanging="464"/>
        <w:spacing w:after="0"/>
        <w:tabs>
          <w:tab w:leader="none" w:pos="1120" w:val="left"/>
        </w:tabs>
        <w:numPr>
          <w:ilvl w:val="0"/>
          <w:numId w:val="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34" w:lineRule="exact"/>
        <w:rPr>
          <w:sz w:val="20"/>
          <w:szCs w:val="20"/>
          <w:color w:val="auto"/>
        </w:rPr>
      </w:pPr>
    </w:p>
    <w:p>
      <w:pPr>
        <w:ind w:right="20" w:firstLine="656"/>
        <w:spacing w:after="0" w:line="249" w:lineRule="auto"/>
        <w:tabs>
          <w:tab w:leader="none" w:pos="1224"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231" w:lineRule="exact"/>
        <w:rPr>
          <w:rFonts w:ascii="Times New Roman" w:cs="Times New Roman" w:eastAsia="Times New Roman" w:hAnsi="Times New Roman"/>
          <w:sz w:val="22"/>
          <w:szCs w:val="22"/>
          <w:b w:val="1"/>
          <w:bCs w:val="1"/>
          <w:color w:val="auto"/>
        </w:rPr>
      </w:pPr>
    </w:p>
    <w:p>
      <w:pPr>
        <w:ind w:right="40" w:firstLine="656"/>
        <w:spacing w:after="0" w:line="237" w:lineRule="auto"/>
        <w:tabs>
          <w:tab w:leader="none" w:pos="124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238" w:lineRule="exact"/>
        <w:rPr>
          <w:rFonts w:ascii="Times New Roman" w:cs="Times New Roman" w:eastAsia="Times New Roman" w:hAnsi="Times New Roman"/>
          <w:sz w:val="22"/>
          <w:szCs w:val="22"/>
          <w:b w:val="1"/>
          <w:bCs w:val="1"/>
          <w:color w:val="auto"/>
        </w:rPr>
      </w:pPr>
    </w:p>
    <w:p>
      <w:pPr>
        <w:ind w:left="80" w:right="160" w:firstLine="1305"/>
        <w:spacing w:after="0" w:line="239" w:lineRule="auto"/>
        <w:tabs>
          <w:tab w:leader="none" w:pos="1796"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240" w:lineRule="exact"/>
        <w:rPr>
          <w:rFonts w:ascii="Times New Roman" w:cs="Times New Roman" w:eastAsia="Times New Roman" w:hAnsi="Times New Roman"/>
          <w:sz w:val="22"/>
          <w:szCs w:val="22"/>
          <w:b w:val="1"/>
          <w:bCs w:val="1"/>
          <w:color w:val="auto"/>
        </w:rPr>
      </w:pPr>
    </w:p>
    <w:p>
      <w:pPr>
        <w:ind w:left="80" w:right="520" w:firstLine="1305"/>
        <w:spacing w:after="0" w:line="234" w:lineRule="auto"/>
        <w:tabs>
          <w:tab w:leader="none" w:pos="1856"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240" w:lineRule="exact"/>
        <w:rPr>
          <w:rFonts w:ascii="Times New Roman" w:cs="Times New Roman" w:eastAsia="Times New Roman" w:hAnsi="Times New Roman"/>
          <w:sz w:val="22"/>
          <w:szCs w:val="22"/>
          <w:b w:val="1"/>
          <w:bCs w:val="1"/>
          <w:color w:val="auto"/>
        </w:rPr>
      </w:pPr>
    </w:p>
    <w:p>
      <w:pPr>
        <w:ind w:left="80" w:right="240" w:firstLine="1305"/>
        <w:spacing w:after="0" w:line="234" w:lineRule="auto"/>
        <w:tabs>
          <w:tab w:leader="none" w:pos="1916" w:val="left"/>
        </w:tabs>
        <w:numPr>
          <w:ilvl w:val="1"/>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236" w:lineRule="exact"/>
        <w:rPr>
          <w:rFonts w:ascii="Times New Roman" w:cs="Times New Roman" w:eastAsia="Times New Roman" w:hAnsi="Times New Roman"/>
          <w:sz w:val="22"/>
          <w:szCs w:val="22"/>
          <w:b w:val="1"/>
          <w:bCs w:val="1"/>
          <w:color w:val="auto"/>
        </w:rPr>
      </w:pPr>
    </w:p>
    <w:p>
      <w:pPr>
        <w:ind w:right="120" w:firstLine="656"/>
        <w:spacing w:after="0" w:line="249" w:lineRule="auto"/>
        <w:tabs>
          <w:tab w:leader="none" w:pos="12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(a) nation, state, commonwealth, province, territory, county, municipality, district or other jurisdiction of 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New York Stock Exchange, and the Financial Industry Regulatory Authority).</w:t>
      </w:r>
    </w:p>
    <w:p>
      <w:pPr>
        <w:spacing w:after="0" w:line="229" w:lineRule="exact"/>
        <w:rPr>
          <w:rFonts w:ascii="Times New Roman" w:cs="Times New Roman" w:eastAsia="Times New Roman" w:hAnsi="Times New Roman"/>
          <w:sz w:val="22"/>
          <w:szCs w:val="22"/>
          <w:b w:val="1"/>
          <w:bCs w:val="1"/>
          <w:color w:val="auto"/>
        </w:rPr>
      </w:pPr>
    </w:p>
    <w:p>
      <w:pPr>
        <w:ind w:firstLine="656"/>
        <w:spacing w:after="0" w:line="241" w:lineRule="auto"/>
        <w:tabs>
          <w:tab w:leader="none" w:pos="1248"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 number of shares of Common Stock subject to the Award or potential cash payment right, (if any), the vesting schedule for the Award (if any) and other key terms applicable to the Award.</w:t>
      </w:r>
    </w:p>
    <w:p>
      <w:pPr>
        <w:spacing w:after="0" w:line="234" w:lineRule="exact"/>
        <w:rPr>
          <w:rFonts w:ascii="Times New Roman" w:cs="Times New Roman" w:eastAsia="Times New Roman" w:hAnsi="Times New Roman"/>
          <w:sz w:val="22"/>
          <w:szCs w:val="22"/>
          <w:b w:val="1"/>
          <w:bCs w:val="1"/>
          <w:color w:val="auto"/>
        </w:rPr>
      </w:pPr>
    </w:p>
    <w:p>
      <w:pPr>
        <w:ind w:right="180" w:firstLine="656"/>
        <w:spacing w:after="0" w:line="237" w:lineRule="auto"/>
        <w:tabs>
          <w:tab w:leader="none" w:pos="1200"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234" w:lineRule="exact"/>
        <w:rPr>
          <w:rFonts w:ascii="Times New Roman" w:cs="Times New Roman" w:eastAsia="Times New Roman" w:hAnsi="Times New Roman"/>
          <w:sz w:val="22"/>
          <w:szCs w:val="22"/>
          <w:b w:val="1"/>
          <w:bCs w:val="1"/>
          <w:color w:val="auto"/>
        </w:rPr>
      </w:pPr>
    </w:p>
    <w:p>
      <w:pPr>
        <w:ind w:firstLine="656"/>
        <w:spacing w:after="0" w:line="247" w:lineRule="auto"/>
        <w:tabs>
          <w:tab w:leader="none" w:pos="1152"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232" w:lineRule="exact"/>
        <w:rPr>
          <w:rFonts w:ascii="Times New Roman" w:cs="Times New Roman" w:eastAsia="Times New Roman" w:hAnsi="Times New Roman"/>
          <w:sz w:val="22"/>
          <w:szCs w:val="22"/>
          <w:b w:val="1"/>
          <w:bCs w:val="1"/>
          <w:color w:val="auto"/>
        </w:rPr>
      </w:pPr>
    </w:p>
    <w:p>
      <w:pPr>
        <w:ind w:right="80" w:firstLine="656"/>
        <w:spacing w:after="0" w:line="241" w:lineRule="auto"/>
        <w:tabs>
          <w:tab w:leader="none" w:pos="1224" w:val="left"/>
        </w:tabs>
        <w:numPr>
          <w:ilvl w:val="0"/>
          <w:numId w:val="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37"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color w:val="auto"/>
        </w:rPr>
        <w:t>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211" w:lineRule="exact"/>
        <w:rPr>
          <w:sz w:val="20"/>
          <w:szCs w:val="20"/>
          <w:color w:val="auto"/>
        </w:rPr>
      </w:pPr>
    </w:p>
    <w:p>
      <w:pPr>
        <w:ind w:right="20" w:firstLine="656"/>
        <w:spacing w:after="0" w:line="241" w:lineRule="auto"/>
        <w:tabs>
          <w:tab w:leader="none" w:pos="124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(ii) the terms of any Non-Exempt Severance Agreement.</w:t>
      </w:r>
    </w:p>
    <w:p>
      <w:pPr>
        <w:spacing w:after="0" w:line="234" w:lineRule="exact"/>
        <w:rPr>
          <w:rFonts w:ascii="Times New Roman" w:cs="Times New Roman" w:eastAsia="Times New Roman" w:hAnsi="Times New Roman"/>
          <w:sz w:val="22"/>
          <w:szCs w:val="22"/>
          <w:b w:val="1"/>
          <w:bCs w:val="1"/>
          <w:color w:val="auto"/>
        </w:rPr>
      </w:pPr>
    </w:p>
    <w:p>
      <w:pPr>
        <w:ind w:right="500" w:firstLine="656"/>
        <w:spacing w:after="0" w:line="237" w:lineRule="auto"/>
        <w:tabs>
          <w:tab w:leader="none" w:pos="112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Director Award</w:t>
      </w:r>
      <w:r>
        <w:rPr>
          <w:rFonts w:ascii="Times New Roman" w:cs="Times New Roman" w:eastAsia="Times New Roman" w:hAnsi="Times New Roman"/>
          <w:sz w:val="18"/>
          <w:szCs w:val="18"/>
          <w:color w:val="auto"/>
        </w:rPr>
        <w:t>” means a Non-Exempt Award granted to a Participant who was a Director but not an Employee on the applicable grant date.</w:t>
      </w:r>
    </w:p>
    <w:p>
      <w:pPr>
        <w:spacing w:after="0" w:line="234" w:lineRule="exact"/>
        <w:rPr>
          <w:rFonts w:ascii="Times New Roman" w:cs="Times New Roman" w:eastAsia="Times New Roman" w:hAnsi="Times New Roman"/>
          <w:sz w:val="22"/>
          <w:szCs w:val="22"/>
          <w:b w:val="1"/>
          <w:bCs w:val="1"/>
          <w:color w:val="auto"/>
        </w:rPr>
      </w:pPr>
    </w:p>
    <w:p>
      <w:pPr>
        <w:ind w:right="40" w:firstLine="656"/>
        <w:spacing w:after="0" w:line="249" w:lineRule="auto"/>
        <w:tabs>
          <w:tab w:leader="none" w:pos="1152"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213" w:lineRule="exact"/>
        <w:rPr>
          <w:rFonts w:ascii="Times New Roman" w:cs="Times New Roman" w:eastAsia="Times New Roman" w:hAnsi="Times New Roman"/>
          <w:sz w:val="22"/>
          <w:szCs w:val="22"/>
          <w:b w:val="1"/>
          <w:bCs w:val="1"/>
          <w:color w:val="auto"/>
        </w:rPr>
      </w:pPr>
    </w:p>
    <w:p>
      <w:pPr>
        <w:ind w:left="1260" w:hanging="604"/>
        <w:spacing w:after="0"/>
        <w:tabs>
          <w:tab w:leader="none" w:pos="126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Option.</w:t>
      </w:r>
    </w:p>
    <w:p>
      <w:pPr>
        <w:spacing w:after="0" w:line="226" w:lineRule="exact"/>
        <w:rPr>
          <w:rFonts w:ascii="Times New Roman" w:cs="Times New Roman" w:eastAsia="Times New Roman" w:hAnsi="Times New Roman"/>
          <w:sz w:val="22"/>
          <w:szCs w:val="22"/>
          <w:b w:val="1"/>
          <w:bCs w:val="1"/>
          <w:color w:val="auto"/>
        </w:rPr>
      </w:pPr>
    </w:p>
    <w:p>
      <w:pPr>
        <w:ind w:left="1140" w:hanging="484"/>
        <w:spacing w:after="0"/>
        <w:tabs>
          <w:tab w:leader="none" w:pos="114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19" w:lineRule="exact"/>
        <w:rPr>
          <w:rFonts w:ascii="Times New Roman" w:cs="Times New Roman" w:eastAsia="Times New Roman" w:hAnsi="Times New Roman"/>
          <w:sz w:val="22"/>
          <w:szCs w:val="22"/>
          <w:b w:val="1"/>
          <w:bCs w:val="1"/>
          <w:color w:val="auto"/>
        </w:rPr>
      </w:pPr>
    </w:p>
    <w:p>
      <w:pPr>
        <w:ind w:left="1380" w:hanging="724"/>
        <w:spacing w:after="0"/>
        <w:tabs>
          <w:tab w:leader="none" w:pos="1380"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Plan.</w:t>
      </w:r>
    </w:p>
    <w:p>
      <w:pPr>
        <w:spacing w:after="0" w:line="241" w:lineRule="exact"/>
        <w:rPr>
          <w:rFonts w:ascii="Times New Roman" w:cs="Times New Roman" w:eastAsia="Times New Roman" w:hAnsi="Times New Roman"/>
          <w:sz w:val="22"/>
          <w:szCs w:val="22"/>
          <w:b w:val="1"/>
          <w:bCs w:val="1"/>
          <w:color w:val="auto"/>
        </w:rPr>
      </w:pPr>
    </w:p>
    <w:p>
      <w:pPr>
        <w:jc w:val="both"/>
        <w:ind w:right="40" w:firstLine="656"/>
        <w:spacing w:after="0" w:line="244" w:lineRule="auto"/>
        <w:tabs>
          <w:tab w:leader="none" w:pos="124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to a Participant along with the Grant Notice. Each Option Agreement will be subject to the terms and conditions of the Plan.</w:t>
      </w:r>
    </w:p>
    <w:p>
      <w:pPr>
        <w:spacing w:after="0" w:line="232" w:lineRule="exact"/>
        <w:rPr>
          <w:rFonts w:ascii="Times New Roman" w:cs="Times New Roman" w:eastAsia="Times New Roman" w:hAnsi="Times New Roman"/>
          <w:sz w:val="22"/>
          <w:szCs w:val="22"/>
          <w:b w:val="1"/>
          <w:bCs w:val="1"/>
          <w:color w:val="auto"/>
        </w:rPr>
      </w:pPr>
    </w:p>
    <w:p>
      <w:pPr>
        <w:ind w:right="500" w:firstLine="656"/>
        <w:spacing w:after="0" w:line="249" w:lineRule="auto"/>
        <w:tabs>
          <w:tab w:leader="none" w:pos="1224"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224" w:lineRule="exact"/>
        <w:rPr>
          <w:rFonts w:ascii="Times New Roman" w:cs="Times New Roman" w:eastAsia="Times New Roman" w:hAnsi="Times New Roman"/>
          <w:sz w:val="22"/>
          <w:szCs w:val="22"/>
          <w:b w:val="1"/>
          <w:bCs w:val="1"/>
          <w:color w:val="auto"/>
        </w:rPr>
      </w:pPr>
    </w:p>
    <w:p>
      <w:pPr>
        <w:ind w:right="180" w:firstLine="656"/>
        <w:spacing w:after="0" w:line="237" w:lineRule="auto"/>
        <w:tabs>
          <w:tab w:leader="none" w:pos="124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5(c).</w:t>
      </w:r>
    </w:p>
    <w:p>
      <w:pPr>
        <w:spacing w:after="0" w:line="234" w:lineRule="exact"/>
        <w:rPr>
          <w:rFonts w:ascii="Times New Roman" w:cs="Times New Roman" w:eastAsia="Times New Roman" w:hAnsi="Times New Roman"/>
          <w:sz w:val="22"/>
          <w:szCs w:val="22"/>
          <w:b w:val="1"/>
          <w:bCs w:val="1"/>
          <w:color w:val="auto"/>
        </w:rPr>
      </w:pPr>
    </w:p>
    <w:p>
      <w:pPr>
        <w:ind w:right="220" w:firstLine="656"/>
        <w:spacing w:after="0" w:line="237" w:lineRule="auto"/>
        <w:tabs>
          <w:tab w:leader="none" w:pos="1248"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agreement between the Company and a holder of an Other Award evidencing the terms and conditions of an Other Award grant. Each Other Award Agreement will be subject to the terms and conditions of the Plan.</w:t>
      </w:r>
    </w:p>
    <w:p>
      <w:pPr>
        <w:spacing w:after="0" w:line="234" w:lineRule="exact"/>
        <w:rPr>
          <w:rFonts w:ascii="Times New Roman" w:cs="Times New Roman" w:eastAsia="Times New Roman" w:hAnsi="Times New Roman"/>
          <w:sz w:val="22"/>
          <w:szCs w:val="22"/>
          <w:b w:val="1"/>
          <w:bCs w:val="1"/>
          <w:color w:val="auto"/>
        </w:rPr>
      </w:pPr>
    </w:p>
    <w:p>
      <w:pPr>
        <w:ind w:right="180" w:firstLine="656"/>
        <w:spacing w:after="0" w:line="260" w:lineRule="auto"/>
        <w:tabs>
          <w:tab w:leader="none" w:pos="120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Own,</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Owned,</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i w:val="1"/>
          <w:iCs w:val="1"/>
          <w:color w:val="auto"/>
        </w:rPr>
        <w:t>Ownership</w:t>
      </w:r>
      <w:r>
        <w:rPr>
          <w:rFonts w:ascii="Times New Roman" w:cs="Times New Roman" w:eastAsia="Times New Roman" w:hAnsi="Times New Roman"/>
          <w:sz w:val="17"/>
          <w:szCs w:val="17"/>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219" w:lineRule="exact"/>
        <w:rPr>
          <w:rFonts w:ascii="Times New Roman" w:cs="Times New Roman" w:eastAsia="Times New Roman" w:hAnsi="Times New Roman"/>
          <w:sz w:val="21"/>
          <w:szCs w:val="21"/>
          <w:b w:val="1"/>
          <w:bCs w:val="1"/>
          <w:color w:val="auto"/>
        </w:rPr>
      </w:pPr>
    </w:p>
    <w:p>
      <w:pPr>
        <w:ind w:right="220" w:firstLine="656"/>
        <w:spacing w:after="0" w:line="237" w:lineRule="auto"/>
        <w:tabs>
          <w:tab w:leader="none" w:pos="1176"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234" w:lineRule="exact"/>
        <w:rPr>
          <w:rFonts w:ascii="Times New Roman" w:cs="Times New Roman" w:eastAsia="Times New Roman" w:hAnsi="Times New Roman"/>
          <w:sz w:val="22"/>
          <w:szCs w:val="22"/>
          <w:b w:val="1"/>
          <w:bCs w:val="1"/>
          <w:color w:val="auto"/>
        </w:rPr>
      </w:pPr>
    </w:p>
    <w:p>
      <w:pPr>
        <w:ind w:right="140" w:firstLine="656"/>
        <w:spacing w:after="0" w:line="245" w:lineRule="auto"/>
        <w:tabs>
          <w:tab w:leader="none" w:pos="1152" w:val="left"/>
        </w:tabs>
        <w:numPr>
          <w:ilvl w:val="0"/>
          <w:numId w:val="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78" w:lineRule="exact"/>
        <w:rPr>
          <w:sz w:val="20"/>
          <w:szCs w:val="20"/>
          <w:color w:val="auto"/>
        </w:rPr>
      </w:pPr>
    </w:p>
    <w:p>
      <w:pPr>
        <w:ind w:right="20" w:firstLine="656"/>
        <w:spacing w:after="0" w:line="249" w:lineRule="auto"/>
        <w:tabs>
          <w:tab w:leader="none" w:pos="1248"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w:t>
      </w:r>
    </w:p>
    <w:p>
      <w:pPr>
        <w:spacing w:after="0" w:line="228" w:lineRule="exact"/>
        <w:rPr>
          <w:rFonts w:ascii="Times New Roman" w:cs="Times New Roman" w:eastAsia="Times New Roman" w:hAnsi="Times New Roman"/>
          <w:sz w:val="22"/>
          <w:szCs w:val="22"/>
          <w:b w:val="1"/>
          <w:bCs w:val="1"/>
          <w:color w:val="auto"/>
        </w:rPr>
      </w:pPr>
    </w:p>
    <w:p>
      <w:pPr>
        <w:ind w:right="20" w:firstLine="656"/>
        <w:spacing w:after="0" w:line="249" w:lineRule="auto"/>
        <w:tabs>
          <w:tab w:leader="none" w:pos="1269"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232" w:lineRule="exact"/>
        <w:rPr>
          <w:rFonts w:ascii="Times New Roman" w:cs="Times New Roman" w:eastAsia="Times New Roman" w:hAnsi="Times New Roman"/>
          <w:sz w:val="22"/>
          <w:szCs w:val="22"/>
          <w:b w:val="1"/>
          <w:bCs w:val="1"/>
          <w:color w:val="auto"/>
        </w:rPr>
      </w:pPr>
    </w:p>
    <w:p>
      <w:pPr>
        <w:ind w:right="40" w:firstLine="656"/>
        <w:spacing w:after="0" w:line="248" w:lineRule="auto"/>
        <w:tabs>
          <w:tab w:leader="none" w:pos="132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214" w:lineRule="exact"/>
        <w:rPr>
          <w:rFonts w:ascii="Times New Roman" w:cs="Times New Roman" w:eastAsia="Times New Roman" w:hAnsi="Times New Roman"/>
          <w:sz w:val="22"/>
          <w:szCs w:val="22"/>
          <w:b w:val="1"/>
          <w:bCs w:val="1"/>
          <w:color w:val="auto"/>
        </w:rPr>
      </w:pPr>
    </w:p>
    <w:p>
      <w:pPr>
        <w:ind w:left="1240" w:hanging="584"/>
        <w:spacing w:after="0"/>
        <w:tabs>
          <w:tab w:leader="none" w:pos="124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MacroGenics, Inc. 2023 Equity Incentive Plan, as amended from time to time.</w:t>
      </w:r>
    </w:p>
    <w:p>
      <w:pPr>
        <w:spacing w:after="0" w:line="234" w:lineRule="exact"/>
        <w:rPr>
          <w:rFonts w:ascii="Times New Roman" w:cs="Times New Roman" w:eastAsia="Times New Roman" w:hAnsi="Times New Roman"/>
          <w:sz w:val="22"/>
          <w:szCs w:val="22"/>
          <w:b w:val="1"/>
          <w:bCs w:val="1"/>
          <w:color w:val="auto"/>
        </w:rPr>
      </w:pPr>
    </w:p>
    <w:p>
      <w:pPr>
        <w:ind w:right="240" w:firstLine="656"/>
        <w:spacing w:after="0" w:line="237" w:lineRule="auto"/>
        <w:tabs>
          <w:tab w:leader="none" w:pos="1224"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day-to-day operations of the Plan and the Company’s other equity incentive programs.</w:t>
      </w:r>
    </w:p>
    <w:p>
      <w:pPr>
        <w:spacing w:after="0" w:line="234" w:lineRule="exact"/>
        <w:rPr>
          <w:rFonts w:ascii="Times New Roman" w:cs="Times New Roman" w:eastAsia="Times New Roman" w:hAnsi="Times New Roman"/>
          <w:sz w:val="22"/>
          <w:szCs w:val="22"/>
          <w:b w:val="1"/>
          <w:bCs w:val="1"/>
          <w:color w:val="auto"/>
        </w:rPr>
      </w:pPr>
    </w:p>
    <w:p>
      <w:pPr>
        <w:ind w:right="540" w:firstLine="656"/>
        <w:spacing w:after="0" w:line="237" w:lineRule="auto"/>
        <w:tabs>
          <w:tab w:leader="none" w:pos="1200" w:val="left"/>
        </w:tabs>
        <w:numPr>
          <w:ilvl w:val="0"/>
          <w:numId w:val="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220" w:lineRule="exact"/>
        <w:rPr>
          <w:sz w:val="20"/>
          <w:szCs w:val="20"/>
          <w:color w:val="auto"/>
        </w:rPr>
      </w:pPr>
    </w:p>
    <w:p>
      <w:pPr>
        <w:ind w:left="1340" w:hanging="684"/>
        <w:spacing w:after="0"/>
        <w:tabs>
          <w:tab w:leader="none" w:pos="1340" w:val="left"/>
        </w:tabs>
        <w:numPr>
          <w:ilvl w:val="0"/>
          <w:numId w:val="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the</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Effective Date.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63" w:lineRule="exact"/>
        <w:rPr>
          <w:sz w:val="20"/>
          <w:szCs w:val="20"/>
          <w:color w:val="auto"/>
        </w:rPr>
      </w:pPr>
    </w:p>
    <w:p>
      <w:pPr>
        <w:ind w:left="1380" w:hanging="724"/>
        <w:spacing w:after="0"/>
        <w:tabs>
          <w:tab w:leader="none" w:pos="138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MacroGenics, Inc. 2013 Equity Incentive Plan, as it has been amended (or amended and restated) from time to</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time as applicable.</w:t>
      </w:r>
    </w:p>
    <w:p>
      <w:pPr>
        <w:spacing w:after="0" w:line="226"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means the document containing the Plan information specified in Section 10(a) of the Securities Act.</w:t>
      </w:r>
    </w:p>
    <w:p>
      <w:pPr>
        <w:spacing w:after="0" w:line="219" w:lineRule="exact"/>
        <w:rPr>
          <w:rFonts w:ascii="Times New Roman" w:cs="Times New Roman" w:eastAsia="Times New Roman" w:hAnsi="Times New Roman"/>
          <w:sz w:val="22"/>
          <w:szCs w:val="22"/>
          <w:b w:val="1"/>
          <w:bCs w:val="1"/>
          <w:color w:val="auto"/>
        </w:rPr>
      </w:pPr>
    </w:p>
    <w:p>
      <w:pPr>
        <w:ind w:left="1380" w:hanging="724"/>
        <w:spacing w:after="0"/>
        <w:tabs>
          <w:tab w:leader="none" w:pos="138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w:t>
      </w:r>
    </w:p>
    <w:p>
      <w:pPr>
        <w:spacing w:after="0" w:line="1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of Section 5(a).</w:t>
      </w:r>
    </w:p>
    <w:p>
      <w:pPr>
        <w:spacing w:after="0" w:line="244" w:lineRule="exact"/>
        <w:rPr>
          <w:rFonts w:ascii="Times New Roman" w:cs="Times New Roman" w:eastAsia="Times New Roman" w:hAnsi="Times New Roman"/>
          <w:sz w:val="22"/>
          <w:szCs w:val="22"/>
          <w:b w:val="1"/>
          <w:bCs w:val="1"/>
          <w:color w:val="auto"/>
        </w:rPr>
      </w:pPr>
    </w:p>
    <w:p>
      <w:pPr>
        <w:ind w:firstLine="656"/>
        <w:spacing w:after="0" w:line="262" w:lineRule="auto"/>
        <w:tabs>
          <w:tab w:leader="none" w:pos="1295" w:val="left"/>
        </w:tabs>
        <w:numPr>
          <w:ilvl w:val="0"/>
          <w:numId w:val="8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Stock Award Agreement</w:t>
      </w:r>
      <w:r>
        <w:rPr>
          <w:rFonts w:ascii="Times New Roman" w:cs="Times New Roman" w:eastAsia="Times New Roman" w:hAnsi="Times New Roman"/>
          <w:sz w:val="17"/>
          <w:szCs w:val="17"/>
          <w:color w:val="auto"/>
        </w:rPr>
        <w:t>” means a written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to a Participant along with the Grant Notice. Each Restricted Stock Award Agreement will be subject to the terms and conditions of the Plan.</w:t>
      </w:r>
    </w:p>
    <w:p>
      <w:pPr>
        <w:spacing w:after="0" w:line="202" w:lineRule="exact"/>
        <w:rPr>
          <w:rFonts w:ascii="Times New Roman" w:cs="Times New Roman" w:eastAsia="Times New Roman" w:hAnsi="Times New Roman"/>
          <w:sz w:val="21"/>
          <w:szCs w:val="21"/>
          <w:b w:val="1"/>
          <w:bCs w:val="1"/>
          <w:color w:val="auto"/>
        </w:rPr>
      </w:pPr>
    </w:p>
    <w:p>
      <w:pPr>
        <w:ind w:left="1240" w:hanging="584"/>
        <w:spacing w:after="0"/>
        <w:tabs>
          <w:tab w:leader="none" w:pos="1240" w:val="left"/>
        </w:tabs>
        <w:numPr>
          <w:ilvl w:val="0"/>
          <w:numId w:val="8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w:t>
      </w:r>
    </w:p>
    <w:p>
      <w:pPr>
        <w:spacing w:after="0" w:line="2"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224" w:lineRule="exact"/>
        <w:rPr>
          <w:sz w:val="20"/>
          <w:szCs w:val="20"/>
          <w:color w:val="auto"/>
        </w:rPr>
      </w:pPr>
    </w:p>
    <w:p>
      <w:pPr>
        <w:ind w:right="360" w:firstLine="656"/>
        <w:spacing w:after="0" w:line="237" w:lineRule="auto"/>
        <w:tabs>
          <w:tab w:leader="none" w:pos="1332"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234" w:lineRule="exact"/>
        <w:rPr>
          <w:rFonts w:ascii="Times New Roman" w:cs="Times New Roman" w:eastAsia="Times New Roman" w:hAnsi="Times New Roman"/>
          <w:sz w:val="22"/>
          <w:szCs w:val="22"/>
          <w:b w:val="1"/>
          <w:bCs w:val="1"/>
          <w:color w:val="auto"/>
        </w:rPr>
      </w:pPr>
    </w:p>
    <w:p>
      <w:pPr>
        <w:ind w:right="100" w:firstLine="656"/>
        <w:spacing w:after="0" w:line="244" w:lineRule="auto"/>
        <w:tabs>
          <w:tab w:leader="none" w:pos="136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agreement between the Company and a holder of a RSU Award evidencing the terms and conditions of a RSU Award. The RSU Award Agreement includes the Grant Notice for the RSU Award and the agreement containing the written summary of the general terms and conditions applicable to the RSU Award and which is provided to a Participant along with the Grant Notice. Each RSU Award Agreement will be subject to the terms and conditions of the Plan.</w:t>
      </w:r>
    </w:p>
    <w:p>
      <w:pPr>
        <w:spacing w:after="0" w:line="217" w:lineRule="exact"/>
        <w:rPr>
          <w:rFonts w:ascii="Times New Roman" w:cs="Times New Roman" w:eastAsia="Times New Roman" w:hAnsi="Times New Roman"/>
          <w:sz w:val="22"/>
          <w:szCs w:val="22"/>
          <w:b w:val="1"/>
          <w:bCs w:val="1"/>
          <w:color w:val="auto"/>
        </w:rPr>
      </w:pPr>
    </w:p>
    <w:p>
      <w:pPr>
        <w:ind w:left="1200" w:hanging="544"/>
        <w:spacing w:after="0"/>
        <w:tabs>
          <w:tab w:leader="none" w:pos="120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33" w:lineRule="exact"/>
        <w:rPr>
          <w:rFonts w:ascii="Times New Roman" w:cs="Times New Roman" w:eastAsia="Times New Roman" w:hAnsi="Times New Roman"/>
          <w:sz w:val="22"/>
          <w:szCs w:val="22"/>
          <w:b w:val="1"/>
          <w:bCs w:val="1"/>
          <w:color w:val="auto"/>
        </w:rPr>
      </w:pPr>
    </w:p>
    <w:p>
      <w:pPr>
        <w:ind w:left="1240" w:hanging="584"/>
        <w:spacing w:after="0"/>
        <w:tabs>
          <w:tab w:leader="none" w:pos="124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19" w:lineRule="exact"/>
        <w:rPr>
          <w:rFonts w:ascii="Times New Roman" w:cs="Times New Roman" w:eastAsia="Times New Roman" w:hAnsi="Times New Roman"/>
          <w:sz w:val="22"/>
          <w:szCs w:val="22"/>
          <w:b w:val="1"/>
          <w:bCs w:val="1"/>
          <w:color w:val="auto"/>
        </w:rPr>
      </w:pPr>
    </w:p>
    <w:p>
      <w:pPr>
        <w:ind w:left="1380" w:hanging="724"/>
        <w:spacing w:after="0"/>
        <w:tabs>
          <w:tab w:leader="none" w:pos="1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234" w:lineRule="exact"/>
        <w:rPr>
          <w:rFonts w:ascii="Times New Roman" w:cs="Times New Roman" w:eastAsia="Times New Roman" w:hAnsi="Times New Roman"/>
          <w:sz w:val="22"/>
          <w:szCs w:val="22"/>
          <w:b w:val="1"/>
          <w:bCs w:val="1"/>
          <w:color w:val="auto"/>
        </w:rPr>
      </w:pPr>
    </w:p>
    <w:p>
      <w:pPr>
        <w:jc w:val="both"/>
        <w:ind w:right="620" w:firstLine="656"/>
        <w:spacing w:after="0" w:line="241" w:lineRule="auto"/>
        <w:tabs>
          <w:tab w:leader="none" w:pos="118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1.409A-3(i)(5) (without regard to any alternative definition thereunder).</w:t>
      </w:r>
    </w:p>
    <w:p>
      <w:pPr>
        <w:spacing w:after="0" w:line="220" w:lineRule="exact"/>
        <w:rPr>
          <w:rFonts w:ascii="Times New Roman" w:cs="Times New Roman" w:eastAsia="Times New Roman" w:hAnsi="Times New Roman"/>
          <w:sz w:val="22"/>
          <w:szCs w:val="22"/>
          <w:b w:val="1"/>
          <w:bCs w:val="1"/>
          <w:color w:val="auto"/>
        </w:rPr>
      </w:pPr>
    </w:p>
    <w:p>
      <w:pPr>
        <w:ind w:left="1560" w:hanging="904"/>
        <w:spacing w:after="0"/>
        <w:tabs>
          <w:tab w:leader="none" w:pos="156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19" w:lineRule="exact"/>
        <w:rPr>
          <w:rFonts w:ascii="Times New Roman" w:cs="Times New Roman" w:eastAsia="Times New Roman" w:hAnsi="Times New Roman"/>
          <w:sz w:val="22"/>
          <w:szCs w:val="22"/>
          <w:b w:val="1"/>
          <w:bCs w:val="1"/>
          <w:color w:val="auto"/>
        </w:rPr>
      </w:pPr>
    </w:p>
    <w:p>
      <w:pPr>
        <w:ind w:left="1380" w:hanging="724"/>
        <w:spacing w:after="0"/>
        <w:tabs>
          <w:tab w:leader="none" w:pos="1380"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234" w:lineRule="exact"/>
        <w:rPr>
          <w:rFonts w:ascii="Times New Roman" w:cs="Times New Roman" w:eastAsia="Times New Roman" w:hAnsi="Times New Roman"/>
          <w:sz w:val="22"/>
          <w:szCs w:val="22"/>
          <w:b w:val="1"/>
          <w:bCs w:val="1"/>
          <w:color w:val="auto"/>
        </w:rPr>
      </w:pPr>
    </w:p>
    <w:p>
      <w:pPr>
        <w:ind w:right="160" w:firstLine="656"/>
        <w:spacing w:after="0" w:line="249" w:lineRule="auto"/>
        <w:tabs>
          <w:tab w:leader="none" w:pos="1332"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224" w:lineRule="exact"/>
        <w:rPr>
          <w:rFonts w:ascii="Times New Roman" w:cs="Times New Roman" w:eastAsia="Times New Roman" w:hAnsi="Times New Roman"/>
          <w:sz w:val="22"/>
          <w:szCs w:val="22"/>
          <w:b w:val="1"/>
          <w:bCs w:val="1"/>
          <w:color w:val="auto"/>
        </w:rPr>
      </w:pPr>
    </w:p>
    <w:p>
      <w:pPr>
        <w:ind w:right="40" w:firstLine="656"/>
        <w:spacing w:after="0" w:line="244" w:lineRule="auto"/>
        <w:tabs>
          <w:tab w:leader="none" w:pos="136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to a Participant along with the Grant Notice. Each SAR Agreement will be subject to the terms and conditions of the Plan.</w:t>
      </w:r>
    </w:p>
    <w:p>
      <w:pPr>
        <w:spacing w:after="0" w:line="232" w:lineRule="exact"/>
        <w:rPr>
          <w:rFonts w:ascii="Times New Roman" w:cs="Times New Roman" w:eastAsia="Times New Roman" w:hAnsi="Times New Roman"/>
          <w:sz w:val="22"/>
          <w:szCs w:val="22"/>
          <w:b w:val="1"/>
          <w:bCs w:val="1"/>
          <w:color w:val="auto"/>
        </w:rPr>
      </w:pPr>
    </w:p>
    <w:p>
      <w:pPr>
        <w:ind w:right="180" w:firstLine="656"/>
        <w:spacing w:after="0" w:line="244" w:lineRule="auto"/>
        <w:tabs>
          <w:tab w:leader="none" w:pos="1368" w:val="left"/>
        </w:tabs>
        <w:numPr>
          <w:ilvl w:val="0"/>
          <w:numId w:val="8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color w:val="auto"/>
        </w:rPr>
        <w:t>Appendix A</w:t>
      </w:r>
    </w:p>
    <w:p>
      <w:pPr>
        <w:spacing w:after="0" w:line="200" w:lineRule="exact"/>
        <w:rPr>
          <w:sz w:val="20"/>
          <w:szCs w:val="20"/>
          <w:color w:val="auto"/>
        </w:rPr>
      </w:pPr>
    </w:p>
    <w:p>
      <w:pPr>
        <w:spacing w:after="0" w:line="24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other entity in which the Company has a direct or indirect interest (whether in the form of voting or participation in profits or capital contribution) of more than 50%.</w:t>
      </w:r>
    </w:p>
    <w:p>
      <w:pPr>
        <w:spacing w:after="0" w:line="198" w:lineRule="exact"/>
        <w:rPr>
          <w:sz w:val="20"/>
          <w:szCs w:val="20"/>
          <w:color w:val="auto"/>
        </w:rPr>
      </w:pPr>
    </w:p>
    <w:p>
      <w:pPr>
        <w:ind w:right="240" w:firstLine="656"/>
        <w:spacing w:after="0" w:line="237" w:lineRule="auto"/>
        <w:tabs>
          <w:tab w:leader="none" w:pos="1295"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234" w:lineRule="exact"/>
        <w:rPr>
          <w:rFonts w:ascii="Times New Roman" w:cs="Times New Roman" w:eastAsia="Times New Roman" w:hAnsi="Times New Roman"/>
          <w:sz w:val="22"/>
          <w:szCs w:val="22"/>
          <w:b w:val="1"/>
          <w:bCs w:val="1"/>
          <w:color w:val="auto"/>
        </w:rPr>
      </w:pPr>
    </w:p>
    <w:p>
      <w:pPr>
        <w:ind w:right="500" w:firstLine="656"/>
        <w:spacing w:after="0" w:line="237" w:lineRule="auto"/>
        <w:tabs>
          <w:tab w:leader="none" w:pos="1260"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234" w:lineRule="exact"/>
        <w:rPr>
          <w:rFonts w:ascii="Times New Roman" w:cs="Times New Roman" w:eastAsia="Times New Roman" w:hAnsi="Times New Roman"/>
          <w:sz w:val="22"/>
          <w:szCs w:val="22"/>
          <w:b w:val="1"/>
          <w:bCs w:val="1"/>
          <w:color w:val="auto"/>
        </w:rPr>
      </w:pPr>
    </w:p>
    <w:p>
      <w:pPr>
        <w:ind w:right="260" w:firstLine="656"/>
        <w:spacing w:after="0" w:line="249" w:lineRule="auto"/>
        <w:tabs>
          <w:tab w:leader="none" w:pos="1224"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224" w:lineRule="exact"/>
        <w:rPr>
          <w:rFonts w:ascii="Times New Roman" w:cs="Times New Roman" w:eastAsia="Times New Roman" w:hAnsi="Times New Roman"/>
          <w:sz w:val="22"/>
          <w:szCs w:val="22"/>
          <w:b w:val="1"/>
          <w:bCs w:val="1"/>
          <w:color w:val="auto"/>
        </w:rPr>
      </w:pPr>
    </w:p>
    <w:p>
      <w:pPr>
        <w:ind w:right="20" w:firstLine="656"/>
        <w:spacing w:after="0" w:line="237" w:lineRule="auto"/>
        <w:tabs>
          <w:tab w:leader="none" w:pos="136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500380</wp:posOffset>
            </wp:positionV>
            <wp:extent cx="7157720" cy="8550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85509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6172200" cy="79806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6172200" cy="79806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
      <w:numFmt w:val="bullet"/>
      <w:start w:val="1"/>
    </w:lvl>
  </w:abstractNum>
  <w:abstractNum w:abstractNumId="3">
    <w:nsid w:val="1D4ED43B"/>
    <w:multiLevelType w:val="hybridMultilevel"/>
    <w:lvl w:ilvl="0">
      <w:lvlJc w:val="left"/>
      <w:lvlText w:val="%1."/>
      <w:numFmt w:val="decimal"/>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1."/>
      <w:numFmt w:val="decimal"/>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1)"/>
      <w:numFmt w:val="lowerLetter"/>
      <w:start w:val="2"/>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1)"/>
      <w:numFmt w:val="decimal"/>
      <w:start w:val="1"/>
    </w:lvl>
  </w:abstractNum>
  <w:abstractNum w:abstractNumId="10">
    <w:nsid w:val="6DE91B18"/>
    <w:multiLevelType w:val="hybridMultilevel"/>
    <w:lvl w:ilvl="0">
      <w:lvlJc w:val="left"/>
      <w:lvlText w:val="(%1)"/>
      <w:numFmt w:val="decimal"/>
      <w:start w:val="1"/>
    </w:lvl>
  </w:abstractNum>
  <w:abstractNum w:abstractNumId="11">
    <w:nsid w:val="38437FDB"/>
    <w:multiLevelType w:val="hybridMultilevel"/>
    <w:lvl w:ilvl="0">
      <w:lvlJc w:val="left"/>
      <w:lvlText w:val="(%1)"/>
      <w:numFmt w:val="decimal"/>
      <w:start w:val="1"/>
    </w:lvl>
  </w:abstractNum>
  <w:abstractNum w:abstractNumId="12">
    <w:nsid w:val="7644A45C"/>
    <w:multiLevelType w:val="hybridMultilevel"/>
    <w:lvl w:ilvl="0">
      <w:lvlJc w:val="left"/>
      <w:lvlText w:val="•"/>
      <w:numFmt w:val="bullet"/>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1)"/>
      <w:numFmt w:val="decimal"/>
      <w:start w:val="1"/>
    </w:lvl>
  </w:abstractNum>
  <w:abstractNum w:abstractNumId="15">
    <w:nsid w:val="579478FE"/>
    <w:multiLevelType w:val="hybridMultilevel"/>
    <w:lvl w:ilvl="0">
      <w:lvlJc w:val="left"/>
      <w:lvlText w:val="(%1)"/>
      <w:numFmt w:val="decimal"/>
      <w:start w:val="10"/>
    </w:lvl>
  </w:abstractNum>
  <w:abstractNum w:abstractNumId="16">
    <w:nsid w:val="749ABB43"/>
    <w:multiLevelType w:val="hybridMultilevel"/>
    <w:lvl w:ilvl="0">
      <w:lvlJc w:val="left"/>
      <w:lvlText w:val="(%1)"/>
      <w:numFmt w:val="decimal"/>
      <w:start w:val="2"/>
    </w:lvl>
  </w:abstractNum>
  <w:abstractNum w:abstractNumId="17">
    <w:nsid w:val="3DC240FB"/>
    <w:multiLevelType w:val="hybridMultilevel"/>
    <w:lvl w:ilvl="0">
      <w:lvlJc w:val="left"/>
      <w:lvlText w:val="(%1)"/>
      <w:numFmt w:val="decimal"/>
      <w:start w:val="2"/>
    </w:lvl>
  </w:abstractNum>
  <w:abstractNum w:abstractNumId="18">
    <w:nsid w:val="1BA026FA"/>
    <w:multiLevelType w:val="hybridMultilevel"/>
    <w:lvl w:ilvl="0">
      <w:lvlJc w:val="left"/>
      <w:lvlText w:val="(%1)"/>
      <w:numFmt w:val="decimal"/>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1)"/>
      <w:numFmt w:val="decimal"/>
      <w:start w:val="1"/>
    </w:lvl>
  </w:abstractNum>
  <w:abstractNum w:abstractNumId="22">
    <w:nsid w:val="70C6A529"/>
    <w:multiLevelType w:val="hybridMultilevel"/>
    <w:lvl w:ilvl="0">
      <w:lvlJc w:val="left"/>
      <w:lvlText w:val="(%1)"/>
      <w:numFmt w:val="decimal"/>
      <w:start w:val="1"/>
    </w:lvl>
  </w:abstractNum>
  <w:abstractNum w:abstractNumId="23">
    <w:nsid w:val="520EEDD1"/>
    <w:multiLevelType w:val="hybridMultilevel"/>
    <w:lvl w:ilvl="0">
      <w:lvlJc w:val="left"/>
      <w:lvlText w:val="(%1)"/>
      <w:numFmt w:val="decimal"/>
      <w:start w:val="1"/>
    </w:lvl>
  </w:abstractNum>
  <w:abstractNum w:abstractNumId="24">
    <w:nsid w:val="374A3FE6"/>
    <w:multiLevelType w:val="hybridMultilevel"/>
    <w:lvl w:ilvl="0">
      <w:lvlJc w:val="left"/>
      <w:lvlText w:val="(%1)"/>
      <w:numFmt w:val="decimal"/>
      <w:start w:val="1"/>
    </w:lvl>
  </w:abstractNum>
  <w:abstractNum w:abstractNumId="25">
    <w:nsid w:val="4F4EF005"/>
    <w:multiLevelType w:val="hybridMultilevel"/>
    <w:lvl w:ilvl="0">
      <w:lvlJc w:val="left"/>
      <w:lvlText w:val="(%1)"/>
      <w:numFmt w:val="decimal"/>
      <w:start w:val="1"/>
    </w:lvl>
  </w:abstractNum>
  <w:abstractNum w:abstractNumId="26">
    <w:nsid w:val="23F9C13C"/>
    <w:multiLevelType w:val="hybridMultilevel"/>
    <w:lvl w:ilvl="0">
      <w:lvlJc w:val="left"/>
      <w:lvlText w:val="•"/>
      <w:numFmt w:val="bullet"/>
      <w:start w:val="1"/>
    </w:lvl>
    <w:lvl w:ilvl="1">
      <w:lvlJc w:val="left"/>
      <w:lvlText w:val="(%2)"/>
      <w:numFmt w:val="decimal"/>
      <w:start w:val="30"/>
    </w:lvl>
  </w:abstractNum>
  <w:abstractNum w:abstractNumId="27">
    <w:nsid w:val="649BB77C"/>
    <w:multiLevelType w:val="hybridMultilevel"/>
    <w:lvl w:ilvl="0">
      <w:lvlJc w:val="left"/>
      <w:lvlText w:val="(%1)"/>
      <w:numFmt w:val="lowerLetter"/>
      <w:start w:val="1"/>
    </w:lvl>
  </w:abstractNum>
  <w:abstractNum w:abstractNumId="28">
    <w:nsid w:val="275AC794"/>
    <w:multiLevelType w:val="hybridMultilevel"/>
    <w:lvl w:ilvl="0">
      <w:lvlJc w:val="left"/>
      <w:lvlText w:val="(%1)"/>
      <w:numFmt w:val="decimal"/>
      <w:start w:val="1"/>
    </w:lvl>
  </w:abstractNum>
  <w:abstractNum w:abstractNumId="29">
    <w:nsid w:val="39386575"/>
    <w:multiLevelType w:val="hybridMultilevel"/>
    <w:lvl w:ilvl="0">
      <w:lvlJc w:val="left"/>
      <w:lvlText w:val="(%1)"/>
      <w:numFmt w:val="decimal"/>
      <w:start w:val="1"/>
    </w:lvl>
    <w:lvl w:ilvl="1">
      <w:lvlJc w:val="left"/>
      <w:lvlText w:val="•"/>
      <w:numFmt w:val="bullet"/>
      <w:start w:val="1"/>
    </w:lvl>
  </w:abstractNum>
  <w:abstractNum w:abstractNumId="30">
    <w:nsid w:val="1CF10FD8"/>
    <w:multiLevelType w:val="hybridMultilevel"/>
    <w:lvl w:ilvl="0">
      <w:lvlJc w:val="left"/>
      <w:lvlText w:val="(%1)"/>
      <w:numFmt w:val="decimal"/>
      <w:start w:val="4"/>
    </w:lvl>
  </w:abstractNum>
  <w:abstractNum w:abstractNumId="31">
    <w:nsid w:val="180115BE"/>
    <w:multiLevelType w:val="hybridMultilevel"/>
    <w:lvl w:ilvl="0">
      <w:lvlJc w:val="left"/>
      <w:lvlText w:val="(%1)"/>
      <w:numFmt w:val="decimal"/>
      <w:start w:val="1"/>
    </w:lvl>
  </w:abstractNum>
  <w:abstractNum w:abstractNumId="32">
    <w:nsid w:val="235BA861"/>
    <w:multiLevelType w:val="hybridMultilevel"/>
    <w:lvl w:ilvl="0">
      <w:lvlJc w:val="left"/>
      <w:lvlText w:val="•"/>
      <w:numFmt w:val="bullet"/>
      <w:start w:val="1"/>
    </w:lvl>
  </w:abstractNum>
  <w:abstractNum w:abstractNumId="33">
    <w:nsid w:val="47398C89"/>
    <w:multiLevelType w:val="hybridMultilevel"/>
    <w:lvl w:ilvl="0">
      <w:lvlJc w:val="left"/>
      <w:lvlText w:val="*"/>
      <w:numFmt w:val="bullet"/>
      <w:start w:val="1"/>
    </w:lvl>
  </w:abstractNum>
  <w:abstractNum w:abstractNumId="34">
    <w:nsid w:val="354FE9F9"/>
    <w:multiLevelType w:val="hybridMultilevel"/>
    <w:lvl w:ilvl="0">
      <w:lvlJc w:val="left"/>
      <w:lvlText w:val="(%1)"/>
      <w:numFmt w:val="decimal"/>
      <w:start w:val="1"/>
    </w:lvl>
  </w:abstractNum>
  <w:abstractNum w:abstractNumId="35">
    <w:nsid w:val="15B5AF5C"/>
    <w:multiLevelType w:val="hybridMultilevel"/>
    <w:lvl w:ilvl="0">
      <w:lvlJc w:val="left"/>
      <w:lvlText w:val="(%1)"/>
      <w:numFmt w:val="decimal"/>
      <w:start w:val="3"/>
    </w:lvl>
  </w:abstractNum>
  <w:abstractNum w:abstractNumId="36">
    <w:nsid w:val="741226B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7">
    <w:nsid w:val="D34B6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8">
    <w:nsid w:val="10233C9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
    <w:nsid w:val="3F6AB60F"/>
    <w:multiLevelType w:val="hybridMultilevel"/>
    <w:lvl w:ilvl="0">
      <w:lvlJc w:val="left"/>
      <w:lvlText w:val="(%1)"/>
      <w:numFmt w:val="lowerLetter"/>
      <w:start w:val="1"/>
    </w:lvl>
  </w:abstractNum>
  <w:abstractNum w:abstractNumId="40">
    <w:nsid w:val="61574095"/>
    <w:multiLevelType w:val="hybridMultilevel"/>
    <w:lvl w:ilvl="0">
      <w:lvlJc w:val="left"/>
      <w:lvlText w:val="(%1)"/>
      <w:numFmt w:val="lowerLetter"/>
      <w:start w:val="2"/>
    </w:lvl>
    <w:lvl w:ilvl="1">
      <w:lvlJc w:val="left"/>
      <w:lvlText w:val="(%2)"/>
      <w:numFmt w:val="lowerRoman"/>
      <w:start w:val="1"/>
    </w:lvl>
  </w:abstractNum>
  <w:abstractNum w:abstractNumId="41">
    <w:nsid w:val="7E0C57B1"/>
    <w:multiLevelType w:val="hybridMultilevel"/>
    <w:lvl w:ilvl="0">
      <w:lvlJc w:val="left"/>
      <w:lvlText w:val="%1"/>
      <w:numFmt w:val="lowerLetter"/>
      <w:start w:val="1"/>
    </w:lvl>
    <w:lvl w:ilvl="1">
      <w:lvlJc w:val="left"/>
      <w:lvlText w:val="(%2)"/>
      <w:numFmt w:val="lowerLetter"/>
      <w:start w:val="35"/>
    </w:lvl>
  </w:abstractNum>
  <w:abstractNum w:abstractNumId="42">
    <w:nsid w:val="77AE35EB"/>
    <w:multiLevelType w:val="hybridMultilevel"/>
    <w:lvl w:ilvl="0">
      <w:lvlJc w:val="left"/>
      <w:lvlText w:val="(%1)"/>
      <w:numFmt w:val="lowerLetter"/>
      <w:start w:val="6"/>
    </w:lvl>
    <w:lvl w:ilvl="1">
      <w:lvlJc w:val="left"/>
      <w:lvlText w:val="(%2)"/>
      <w:numFmt w:val="lowerLetter"/>
      <w:start w:val="9"/>
    </w:lvl>
  </w:abstractNum>
  <w:abstractNum w:abstractNumId="43">
    <w:nsid w:val="579BE4F1"/>
    <w:multiLevelType w:val="hybridMultilevel"/>
    <w:lvl w:ilvl="0">
      <w:lvlJc w:val="left"/>
      <w:lvlText w:val="(%1)"/>
      <w:numFmt w:val="lowerRoman"/>
      <w:start w:val="2"/>
    </w:lvl>
  </w:abstractNum>
  <w:abstractNum w:abstractNumId="44">
    <w:nsid w:val="310C50B3"/>
    <w:multiLevelType w:val="hybridMultilevel"/>
    <w:lvl w:ilvl="0">
      <w:lvlJc w:val="left"/>
      <w:lvlText w:val="(%1)"/>
      <w:numFmt w:val="lowerLetter"/>
      <w:start w:val="9"/>
    </w:lvl>
  </w:abstractNum>
  <w:abstractNum w:abstractNumId="45">
    <w:nsid w:val="5FF87E05"/>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46">
    <w:nsid w:val="2F305DE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47">
    <w:nsid w:val="25A70BF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5"/>
    </w:lvl>
  </w:abstractNum>
  <w:abstractNum w:abstractNumId="48">
    <w:nsid w:val="1DBABF0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9">
    <w:nsid w:val="4AD084E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50">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51">
    <w:nsid w:val="1381823A"/>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2">
    <w:nsid w:val="5DB70AE5"/>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3">
    <w:nsid w:val="100F8FC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4">
    <w:nsid w:val="6590700B"/>
    <w:multiLevelType w:val="hybridMultilevel"/>
    <w:lvl w:ilvl="0">
      <w:lvlJc w:val="left"/>
      <w:lvlText w:val="(%1)"/>
      <w:numFmt w:val="decimal"/>
      <w:start w:val="5"/>
    </w:lvl>
    <w:lvl w:ilvl="1">
      <w:lvlJc w:val="left"/>
      <w:lvlText w:val="(%2)"/>
      <w:numFmt w:val="lowerLetter"/>
      <w:start w:val="2"/>
    </w:lvl>
    <w:lvl w:ilvl="2">
      <w:lvlJc w:val="left"/>
      <w:lvlText w:val="(%3)"/>
      <w:numFmt w:val="lowerRoman"/>
      <w:start w:val="2"/>
    </w:lvl>
  </w:abstractNum>
  <w:abstractNum w:abstractNumId="55">
    <w:nsid w:val="15014AC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6">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57">
    <w:nsid w:val="98A3148"/>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58">
    <w:nsid w:val="799D0247"/>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59">
    <w:nsid w:val="6B94764"/>
    <w:multiLevelType w:val="hybridMultilevel"/>
    <w:lvl w:ilvl="0">
      <w:lvlJc w:val="left"/>
      <w:lvlText w:val="%1"/>
      <w:numFmt w:val="decimal"/>
      <w:start w:val="1"/>
    </w:lvl>
    <w:lvl w:ilvl="1">
      <w:lvlJc w:val="left"/>
      <w:lvlText w:val="(%2)"/>
      <w:numFmt w:val="lowerLetter"/>
      <w:start w:val="3"/>
    </w:lvl>
  </w:abstractNum>
  <w:abstractNum w:abstractNumId="60">
    <w:nsid w:val="42C296BD"/>
    <w:multiLevelType w:val="hybridMultilevel"/>
    <w:lvl w:ilvl="0">
      <w:lvlJc w:val="left"/>
      <w:lvlText w:val="%1."/>
      <w:numFmt w:val="decimal"/>
      <w:start w:val="9"/>
    </w:lvl>
    <w:lvl w:ilvl="1">
      <w:lvlJc w:val="left"/>
      <w:lvlText w:val="(%2)"/>
      <w:numFmt w:val="lowerLetter"/>
      <w:start w:val="1"/>
    </w:lvl>
  </w:abstractNum>
  <w:abstractNum w:abstractNumId="61">
    <w:nsid w:val="168E121F"/>
    <w:multiLevelType w:val="hybridMultilevel"/>
    <w:lvl w:ilvl="0">
      <w:lvlJc w:val="left"/>
      <w:lvlText w:val="(%1)"/>
      <w:numFmt w:val="lowerLetter"/>
      <w:start w:val="6"/>
    </w:lvl>
  </w:abstractNum>
  <w:abstractNum w:abstractNumId="62">
    <w:nsid w:val="1EBA5D23"/>
    <w:multiLevelType w:val="hybridMultilevel"/>
    <w:lvl w:ilvl="0">
      <w:lvlJc w:val="left"/>
      <w:lvlText w:val="%1"/>
      <w:numFmt w:val="decimal"/>
      <w:start w:val="1"/>
    </w:lvl>
    <w:lvl w:ilvl="1">
      <w:lvlJc w:val="left"/>
      <w:lvlText w:val="(%2)"/>
      <w:numFmt w:val="lowerLetter"/>
      <w:start w:val="15"/>
    </w:lvl>
    <w:lvl w:ilvl="2">
      <w:lvlJc w:val="left"/>
      <w:lvlText w:val="%3"/>
      <w:numFmt w:val="lowerRoman"/>
      <w:start w:val="1"/>
    </w:lvl>
  </w:abstractNum>
  <w:abstractNum w:abstractNumId="63">
    <w:nsid w:val="661E3F1E"/>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64">
    <w:nsid w:val="5DC79EA8"/>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65">
    <w:nsid w:val="540A471C"/>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lvl w:ilvl="3">
      <w:lvlJc w:val="left"/>
      <w:lvlText w:val="(%4)"/>
      <w:numFmt w:val="decimal"/>
      <w:start w:val="1"/>
    </w:lvl>
  </w:abstractNum>
  <w:abstractNum w:abstractNumId="66">
    <w:nsid w:val="7BD3EE7B"/>
    <w:multiLevelType w:val="hybridMultilevel"/>
    <w:lvl w:ilvl="0">
      <w:lvlJc w:val="left"/>
      <w:lvlText w:val="%1"/>
      <w:numFmt w:val="lowerLetter"/>
      <w:start w:val="1"/>
    </w:lvl>
    <w:lvl w:ilvl="1">
      <w:lvlJc w:val="left"/>
      <w:lvlText w:val="(%2)"/>
      <w:numFmt w:val="lowerRoman"/>
      <w:start w:val="1"/>
    </w:lvl>
  </w:abstractNum>
  <w:abstractNum w:abstractNumId="67">
    <w:nsid w:val="51D9C564"/>
    <w:multiLevelType w:val="hybridMultilevel"/>
    <w:lvl w:ilvl="0">
      <w:lvlJc w:val="left"/>
      <w:lvlText w:val="(%1)"/>
      <w:numFmt w:val="lowerLetter"/>
      <w:start w:val="5"/>
    </w:lvl>
    <w:lvl w:ilvl="1">
      <w:lvlJc w:val="left"/>
      <w:lvlText w:val="(%2)"/>
      <w:numFmt w:val="lowerRoman"/>
      <w:start w:val="1"/>
    </w:lvl>
  </w:abstractNum>
  <w:abstractNum w:abstractNumId="68">
    <w:nsid w:val="613EFDC5"/>
    <w:multiLevelType w:val="hybridMultilevel"/>
    <w:lvl w:ilvl="0">
      <w:lvlJc w:val="left"/>
      <w:lvlText w:val="%1."/>
      <w:numFmt w:val="decimal"/>
      <w:start w:val="12"/>
    </w:lvl>
  </w:abstractNum>
  <w:abstractNum w:abstractNumId="69">
    <w:nsid w:val="BF72B14"/>
    <w:multiLevelType w:val="hybridMultilevel"/>
    <w:lvl w:ilvl="0">
      <w:lvlJc w:val="left"/>
      <w:lvlText w:val="%1."/>
      <w:numFmt w:val="decimal"/>
      <w:start w:val="13"/>
    </w:lvl>
  </w:abstractNum>
  <w:abstractNum w:abstractNumId="70">
    <w:nsid w:val="11447B73"/>
    <w:multiLevelType w:val="hybridMultilevel"/>
    <w:lvl w:ilvl="0">
      <w:lvlJc w:val="left"/>
      <w:lvlText w:val="%1."/>
      <w:numFmt w:val="decimal"/>
      <w:start w:val="14"/>
    </w:lvl>
  </w:abstractNum>
  <w:abstractNum w:abstractNumId="71">
    <w:nsid w:val="42963E5A"/>
    <w:multiLevelType w:val="hybridMultilevel"/>
    <w:lvl w:ilvl="0">
      <w:lvlJc w:val="left"/>
      <w:lvlText w:val="(%1)"/>
      <w:numFmt w:val="lowerLetter"/>
      <w:start w:val="1"/>
    </w:lvl>
  </w:abstractNum>
  <w:abstractNum w:abstractNumId="72">
    <w:nsid w:val="A0382C5"/>
    <w:multiLevelType w:val="hybridMultilevel"/>
    <w:lvl w:ilvl="0">
      <w:lvlJc w:val="left"/>
      <w:lvlText w:val="(%1)"/>
      <w:numFmt w:val="lowerLetter"/>
      <w:start w:val="10"/>
    </w:lvl>
    <w:lvl w:ilvl="1">
      <w:lvlJc w:val="left"/>
      <w:lvlText w:val="(%2)"/>
      <w:numFmt w:val="lowerRoman"/>
      <w:start w:val="1"/>
    </w:lvl>
  </w:abstractNum>
  <w:abstractNum w:abstractNumId="73">
    <w:nsid w:val="8F2B15E"/>
    <w:multiLevelType w:val="hybridMultilevel"/>
    <w:lvl w:ilvl="0">
      <w:lvlJc w:val="left"/>
      <w:lvlText w:val="(%1)"/>
      <w:numFmt w:val="lowerLetter"/>
      <w:start w:val="11"/>
    </w:lvl>
  </w:abstractNum>
  <w:abstractNum w:abstractNumId="74">
    <w:nsid w:val="1A32234B"/>
    <w:multiLevelType w:val="hybridMultilevel"/>
    <w:lvl w:ilvl="0">
      <w:lvlJc w:val="left"/>
      <w:lvlText w:val="(%1)"/>
      <w:numFmt w:val="lowerLetter"/>
      <w:start w:val="16"/>
    </w:lvl>
    <w:lvl w:ilvl="1">
      <w:lvlJc w:val="left"/>
      <w:lvlText w:val="(%2)"/>
      <w:numFmt w:val="lowerRoman"/>
      <w:start w:val="1"/>
    </w:lvl>
  </w:abstractNum>
  <w:abstractNum w:abstractNumId="75">
    <w:nsid w:val="3B0FD379"/>
    <w:multiLevelType w:val="hybridMultilevel"/>
    <w:lvl w:ilvl="0">
      <w:lvlJc w:val="left"/>
      <w:lvlText w:val="(%1)"/>
      <w:numFmt w:val="lowerLetter"/>
      <w:start w:val="25"/>
    </w:lvl>
  </w:abstractNum>
  <w:abstractNum w:abstractNumId="76">
    <w:nsid w:val="68EB2F63"/>
    <w:multiLevelType w:val="hybridMultilevel"/>
    <w:lvl w:ilvl="0">
      <w:lvlJc w:val="left"/>
      <w:lvlText w:val="(%1)"/>
      <w:numFmt w:val="lowerLetter"/>
      <w:start w:val="27"/>
    </w:lvl>
    <w:lvl w:ilvl="1">
      <w:lvlJc w:val="left"/>
      <w:lvlText w:val="(%2)"/>
      <w:numFmt w:val="lowerRoman"/>
      <w:start w:val="1"/>
    </w:lvl>
  </w:abstractNum>
  <w:abstractNum w:abstractNumId="77">
    <w:nsid w:val="4962813B"/>
    <w:multiLevelType w:val="hybridMultilevel"/>
    <w:lvl w:ilvl="0">
      <w:lvlJc w:val="left"/>
      <w:lvlText w:val="(%1)"/>
      <w:numFmt w:val="lowerLetter"/>
      <w:start w:val="34"/>
    </w:lvl>
  </w:abstractNum>
  <w:abstractNum w:abstractNumId="78">
    <w:nsid w:val="60B6DF70"/>
    <w:multiLevelType w:val="hybridMultilevel"/>
    <w:lvl w:ilvl="0">
      <w:lvlJc w:val="left"/>
      <w:lvlText w:val="(%1)"/>
      <w:numFmt w:val="lowerLetter"/>
      <w:start w:val="47"/>
    </w:lvl>
  </w:abstractNum>
  <w:abstractNum w:abstractNumId="79">
    <w:nsid w:val="6A5EE64"/>
    <w:multiLevelType w:val="hybridMultilevel"/>
    <w:lvl w:ilvl="0">
      <w:lvlJc w:val="left"/>
      <w:lvlText w:val="(%1)"/>
      <w:numFmt w:val="lowerLetter"/>
      <w:start w:val="53"/>
    </w:lvl>
  </w:abstractNum>
  <w:abstractNum w:abstractNumId="80">
    <w:nsid w:val="14330624"/>
    <w:multiLevelType w:val="hybridMultilevel"/>
    <w:lvl w:ilvl="0">
      <w:lvlJc w:val="left"/>
      <w:lvlText w:val="(%1)"/>
      <w:numFmt w:val="lowerLetter"/>
      <w:start w:val="54"/>
    </w:lvl>
  </w:abstractNum>
  <w:abstractNum w:abstractNumId="81">
    <w:nsid w:val="7FFFCA11"/>
    <w:multiLevelType w:val="hybridMultilevel"/>
    <w:lvl w:ilvl="0">
      <w:lvlJc w:val="left"/>
      <w:lvlText w:val="(%1)"/>
      <w:numFmt w:val="lowerLetter"/>
      <w:start w:val="59"/>
    </w:lvl>
  </w:abstractNum>
  <w:abstractNum w:abstractNumId="82">
    <w:nsid w:val="1A27709E"/>
    <w:multiLevelType w:val="hybridMultilevel"/>
    <w:lvl w:ilvl="0">
      <w:lvlJc w:val="left"/>
      <w:lvlText w:val="(%1)"/>
      <w:numFmt w:val="lowerLetter"/>
      <w:start w:val="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2026-04-08T15:05:51Z</dcterms:created>
  <dcterms:modified xsi:type="dcterms:W3CDTF">2026-04-08T15:05:51Z</dcterms:modified>
</cp:coreProperties>
</file>