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May 19, 2026</w:t>
      </w:r>
    </w:p>
    <w:p>
      <w:pPr>
        <w:spacing w:after="0" w:line="2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MACROGENICS, INC.</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Charter)</w:t>
      </w:r>
    </w:p>
    <w:p>
      <w:pPr>
        <w:sectPr>
          <w:pgSz w:w="11900" w:h="16838" w:orient="portrait"/>
          <w:cols w:equalWidth="0" w:num="1">
            <w:col w:w="11080"/>
          </w:cols>
          <w:pgMar w:left="320" w:top="867" w:right="499" w:bottom="1440" w:gutter="0" w:footer="0" w:header="0"/>
        </w:sectPr>
      </w:pPr>
    </w:p>
    <w:p>
      <w:pPr>
        <w:spacing w:after="0" w:line="34"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001-36112</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06-1591613</w:t>
      </w:r>
    </w:p>
    <w:p>
      <w:pPr>
        <w:spacing w:after="0" w:line="15" w:lineRule="exact"/>
        <w:rPr>
          <w:sz w:val="24"/>
          <w:szCs w:val="24"/>
          <w:color w:val="auto"/>
        </w:rPr>
      </w:pPr>
    </w:p>
    <w:p>
      <w:pPr>
        <w:sectPr>
          <w:pgSz w:w="11900" w:h="16838" w:orient="portrait"/>
          <w:cols w:equalWidth="0" w:num="3">
            <w:col w:w="4620" w:space="720"/>
            <w:col w:w="2440" w:space="720"/>
            <w:col w:w="2580"/>
          </w:cols>
          <w:pgMar w:left="320" w:top="867" w:right="499" w:bottom="1440" w:gutter="0" w:footer="0" w:header="0"/>
          <w:type w:val="continuous"/>
        </w:sectPr>
      </w:pPr>
    </w:p>
    <w:p>
      <w:pPr>
        <w:spacing w:after="0" w:line="1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8"/>
          <w:szCs w:val="18"/>
          <w:i w:val="1"/>
          <w:iCs w:val="1"/>
          <w:color w:val="auto"/>
        </w:rPr>
        <w:t>(Commission</w:t>
      </w:r>
    </w:p>
    <w:p>
      <w:pPr>
        <w:spacing w:after="0"/>
        <w:rPr>
          <w:sz w:val="20"/>
          <w:szCs w:val="20"/>
          <w:color w:val="auto"/>
        </w:rPr>
      </w:pPr>
      <w:r>
        <w:rPr>
          <w:rFonts w:ascii="Times New Roman" w:cs="Times New Roman" w:eastAsia="Times New Roman" w:hAnsi="Times New Roman"/>
          <w:sz w:val="18"/>
          <w:szCs w:val="18"/>
          <w:i w:val="1"/>
          <w:iCs w:val="1"/>
          <w:color w:val="auto"/>
        </w:rPr>
        <w:t>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rPr>
          <w:sz w:val="20"/>
          <w:szCs w:val="20"/>
          <w:color w:val="auto"/>
        </w:rPr>
      </w:pPr>
      <w:r>
        <w:rPr>
          <w:rFonts w:ascii="Times New Roman" w:cs="Times New Roman" w:eastAsia="Times New Roman" w:hAnsi="Times New Roman"/>
          <w:sz w:val="17"/>
          <w:szCs w:val="17"/>
          <w:i w:val="1"/>
          <w:iCs w:val="1"/>
          <w:color w:val="auto"/>
        </w:rPr>
        <w:t>Identification No.)</w:t>
      </w:r>
    </w:p>
    <w:p>
      <w:pPr>
        <w:spacing w:after="0" w:line="211" w:lineRule="exact"/>
        <w:rPr>
          <w:sz w:val="24"/>
          <w:szCs w:val="24"/>
          <w:color w:val="auto"/>
        </w:rPr>
      </w:pPr>
    </w:p>
    <w:p>
      <w:pPr>
        <w:sectPr>
          <w:pgSz w:w="11900" w:h="16838" w:orient="portrait"/>
          <w:cols w:equalWidth="0" w:num="3">
            <w:col w:w="4520" w:space="720"/>
            <w:col w:w="2340" w:space="720"/>
            <w:col w:w="2780"/>
          </w:cols>
          <w:pgMar w:left="320" w:top="867" w:right="499" w:bottom="1440" w:gutter="0" w:footer="0" w:header="0"/>
          <w:type w:val="continuous"/>
        </w:sectPr>
      </w:pPr>
    </w:p>
    <w:p>
      <w:pPr>
        <w:spacing w:after="0" w:line="69"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7"/>
          <w:szCs w:val="17"/>
          <w:b w:val="1"/>
          <w:bCs w:val="1"/>
          <w:color w:val="auto"/>
        </w:rPr>
        <w:t>9704 Medical Center Drive</w:t>
      </w:r>
    </w:p>
    <w:p>
      <w:pPr>
        <w:spacing w:after="0" w:line="43"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Rockville, Maryland</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20850</w:t>
      </w:r>
    </w:p>
    <w:p>
      <w:pPr>
        <w:spacing w:after="0" w:line="31" w:lineRule="exact"/>
        <w:rPr>
          <w:sz w:val="24"/>
          <w:szCs w:val="24"/>
          <w:color w:val="auto"/>
        </w:rPr>
      </w:pPr>
    </w:p>
    <w:p>
      <w:pPr>
        <w:sectPr>
          <w:pgSz w:w="11900" w:h="16838" w:orient="portrait"/>
          <w:cols w:equalWidth="0" w:num="2">
            <w:col w:w="6560" w:space="720"/>
            <w:col w:w="3800"/>
          </w:cols>
          <w:pgMar w:left="320" w:top="867" w:right="49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318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6400" w:space="720"/>
            <w:col w:w="3960"/>
          </w:cols>
          <w:pgMar w:left="320" w:top="867" w:right="499" w:bottom="1440" w:gutter="0" w:footer="0" w:header="0"/>
          <w:type w:val="continuous"/>
        </w:sectPr>
      </w:pPr>
    </w:p>
    <w:p>
      <w:pPr>
        <w:spacing w:after="0" w:line="36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(301) 251-5172</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7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3"/>
        </w:trPr>
        <w:tc>
          <w:tcPr>
            <w:tcW w:w="4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2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MGNX</w:t>
            </w:r>
          </w:p>
        </w:tc>
        <w:tc>
          <w:tcPr>
            <w:tcW w:w="4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0" w:lineRule="exact"/>
        <w:rPr>
          <w:sz w:val="24"/>
          <w:szCs w:val="24"/>
          <w:color w:val="auto"/>
        </w:rPr>
      </w:pPr>
    </w:p>
    <w:p>
      <w:pPr>
        <w:spacing w:after="0" w:line="34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ind w:right="360"/>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67" w:right="499" w:bottom="1440" w:gutter="0" w:footer="0" w:header="0"/>
          <w:type w:val="continuous"/>
        </w:sectPr>
      </w:pPr>
    </w:p>
    <w:bookmarkStart w:id="1" w:name="page2"/>
    <w:bookmarkEnd w:id="1"/>
    <w:p>
      <w:pPr>
        <w:ind w:left="20"/>
        <w:spacing w:after="0"/>
        <w:tabs>
          <w:tab w:leader="none" w:pos="184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13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MacroGenics, Inc. (the "Company") held its 2026 Annual Meeting of Stockholders on May 19, 2026. A total of 36,744,013 shares of the Company's common stock were present or represented by proxy at the meeting, which represented approximately 58% of the Company's 63,560,068 shares of common stock that were outstanding and entitled to vote at the meeting as of the record date of March 27, 2026.</w:t>
      </w:r>
    </w:p>
    <w:p>
      <w:pPr>
        <w:ind w:right="460"/>
        <w:spacing w:after="0" w:line="260" w:lineRule="auto"/>
        <w:rPr>
          <w:sz w:val="20"/>
          <w:szCs w:val="20"/>
          <w:color w:val="auto"/>
        </w:rPr>
      </w:pPr>
      <w:r>
        <w:rPr>
          <w:rFonts w:ascii="Times New Roman" w:cs="Times New Roman" w:eastAsia="Times New Roman" w:hAnsi="Times New Roman"/>
          <w:sz w:val="20"/>
          <w:szCs w:val="20"/>
          <w:color w:val="auto"/>
        </w:rPr>
        <w:t>Stockholders considered the four proposals outlined below, each of which is described in more detail in the Company's definitive proxy statement filed with the Securities and Exchange Commission on April 8, 2026 (the "Proxy Statement").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Proposal 1</w:t>
      </w:r>
      <w:r>
        <w:rPr>
          <w:rFonts w:ascii="Times New Roman" w:cs="Times New Roman" w:eastAsia="Times New Roman" w:hAnsi="Times New Roman"/>
          <w:sz w:val="20"/>
          <w:szCs w:val="20"/>
          <w:color w:val="auto"/>
        </w:rPr>
        <w:t>. The election of four nominees to serve as Class I directors, each for a term of three years. All director nominees were elected.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voting results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580" w:type="dxa"/>
            <w:vAlign w:val="bottom"/>
            <w:gridSpan w:val="2"/>
          </w:tcPr>
          <w:p>
            <w:pPr>
              <w:ind w:left="1200"/>
              <w:spacing w:after="0"/>
              <w:rPr>
                <w:sz w:val="20"/>
                <w:szCs w:val="20"/>
                <w:color w:val="auto"/>
              </w:rPr>
            </w:pPr>
            <w:r>
              <w:rPr>
                <w:rFonts w:ascii="Times New Roman" w:cs="Times New Roman" w:eastAsia="Times New Roman" w:hAnsi="Times New Roman"/>
                <w:sz w:val="20"/>
                <w:szCs w:val="20"/>
                <w:b w:val="1"/>
                <w:bCs w:val="1"/>
                <w:color w:val="auto"/>
              </w:rPr>
              <w:t>Nominees</w:t>
            </w:r>
          </w:p>
        </w:tc>
        <w:tc>
          <w:tcPr>
            <w:tcW w:w="236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238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7"/>
              </w:rPr>
              <w:t>Withheld</w:t>
            </w: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44"/>
        </w:trPr>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Scott Koenig, M.D., Ph.D.</w:t>
            </w:r>
          </w:p>
        </w:tc>
        <w:tc>
          <w:tcPr>
            <w:tcW w:w="340" w:type="dxa"/>
            <w:vAlign w:val="bottom"/>
          </w:tcPr>
          <w:p>
            <w:pPr>
              <w:spacing w:after="0"/>
              <w:rPr>
                <w:sz w:val="21"/>
                <w:szCs w:val="21"/>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26,353,906</w:t>
            </w:r>
          </w:p>
        </w:tc>
        <w:tc>
          <w:tcPr>
            <w:tcW w:w="340" w:type="dxa"/>
            <w:vAlign w:val="bottom"/>
          </w:tcPr>
          <w:p>
            <w:pPr>
              <w:spacing w:after="0"/>
              <w:rPr>
                <w:sz w:val="21"/>
                <w:szCs w:val="21"/>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992,399</w:t>
            </w:r>
          </w:p>
        </w:tc>
        <w:tc>
          <w:tcPr>
            <w:tcW w:w="360" w:type="dxa"/>
            <w:vAlign w:val="bottom"/>
          </w:tcPr>
          <w:p>
            <w:pPr>
              <w:spacing w:after="0"/>
              <w:rPr>
                <w:sz w:val="21"/>
                <w:szCs w:val="21"/>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9,397,708</w:t>
            </w:r>
          </w:p>
        </w:tc>
      </w:tr>
      <w:tr>
        <w:trPr>
          <w:trHeight w:val="25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Federica O'Brien</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26,467,370</w:t>
            </w:r>
          </w:p>
        </w:tc>
        <w:tc>
          <w:tcPr>
            <w:tcW w:w="34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878,935</w:t>
            </w:r>
          </w:p>
        </w:tc>
        <w:tc>
          <w:tcPr>
            <w:tcW w:w="36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9,397,708</w:t>
            </w:r>
          </w:p>
        </w:tc>
      </w:tr>
      <w:tr>
        <w:trPr>
          <w:trHeight w:val="258"/>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Eric Risser</w:t>
            </w: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27,174,501</w:t>
            </w:r>
          </w:p>
        </w:tc>
        <w:tc>
          <w:tcPr>
            <w:tcW w:w="34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171,804</w:t>
            </w:r>
          </w:p>
        </w:tc>
        <w:tc>
          <w:tcPr>
            <w:tcW w:w="36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9,397,708</w:t>
            </w:r>
          </w:p>
        </w:tc>
      </w:tr>
    </w:tbl>
    <w:p>
      <w:pPr>
        <w:spacing w:after="0" w:line="224" w:lineRule="exact"/>
        <w:rPr>
          <w:sz w:val="20"/>
          <w:szCs w:val="20"/>
          <w:color w:val="auto"/>
        </w:rPr>
      </w:pPr>
    </w:p>
    <w:p>
      <w:pPr>
        <w:ind w:right="160"/>
        <w:spacing w:after="0" w:line="315" w:lineRule="auto"/>
        <w:rPr>
          <w:sz w:val="20"/>
          <w:szCs w:val="20"/>
          <w:color w:val="auto"/>
        </w:rPr>
      </w:pPr>
      <w:r>
        <w:rPr>
          <w:rFonts w:ascii="Times New Roman" w:cs="Times New Roman" w:eastAsia="Times New Roman" w:hAnsi="Times New Roman"/>
          <w:sz w:val="19"/>
          <w:szCs w:val="19"/>
          <w:b w:val="1"/>
          <w:bCs w:val="1"/>
          <w:i w:val="1"/>
          <w:iCs w:val="1"/>
          <w:color w:val="auto"/>
        </w:rPr>
        <w:t>Proposal 2</w:t>
      </w:r>
      <w:r>
        <w:rPr>
          <w:rFonts w:ascii="Times New Roman" w:cs="Times New Roman" w:eastAsia="Times New Roman" w:hAnsi="Times New Roman"/>
          <w:sz w:val="19"/>
          <w:szCs w:val="19"/>
          <w:color w:val="auto"/>
        </w:rPr>
        <w:t>. The ratification of the appointment by the Audit Committee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333333"/>
        </w:rPr>
        <w:t>of the Board of Directors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Ernst &amp; Young LLP as the Company's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independent registered public accounting firm for fiscal year 2026. Proposal 2 was approved. The voting results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76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266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2660" w:type="dxa"/>
            <w:vAlign w:val="bottom"/>
            <w:gridSpan w:val="2"/>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56"/>
        </w:trPr>
        <w:tc>
          <w:tcPr>
            <w:tcW w:w="2380" w:type="dxa"/>
            <w:vAlign w:val="bottom"/>
            <w:tcBorders>
              <w:top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36,689,683</w:t>
            </w:r>
          </w:p>
        </w:tc>
        <w:tc>
          <w:tcPr>
            <w:tcW w:w="380" w:type="dxa"/>
            <w:vAlign w:val="bottom"/>
          </w:tcPr>
          <w:p>
            <w:pPr>
              <w:spacing w:after="0"/>
              <w:rPr>
                <w:sz w:val="22"/>
                <w:szCs w:val="22"/>
                <w:color w:val="auto"/>
              </w:rPr>
            </w:pPr>
          </w:p>
        </w:tc>
        <w:tc>
          <w:tcPr>
            <w:tcW w:w="2260" w:type="dxa"/>
            <w:vAlign w:val="bottom"/>
            <w:tcBorders>
              <w:top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rPr>
              <w:t>40,552</w:t>
            </w:r>
          </w:p>
        </w:tc>
        <w:tc>
          <w:tcPr>
            <w:tcW w:w="400" w:type="dxa"/>
            <w:vAlign w:val="bottom"/>
          </w:tcPr>
          <w:p>
            <w:pPr>
              <w:spacing w:after="0"/>
              <w:rPr>
                <w:sz w:val="22"/>
                <w:szCs w:val="22"/>
                <w:color w:val="auto"/>
              </w:rPr>
            </w:pPr>
          </w:p>
        </w:tc>
        <w:tc>
          <w:tcPr>
            <w:tcW w:w="2260" w:type="dxa"/>
            <w:vAlign w:val="bottom"/>
            <w:tcBorders>
              <w:top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rPr>
              <w:t>13,778</w:t>
            </w:r>
          </w:p>
        </w:tc>
        <w:tc>
          <w:tcPr>
            <w:tcW w:w="400" w:type="dxa"/>
            <w:vAlign w:val="bottom"/>
          </w:tcPr>
          <w:p>
            <w:pPr>
              <w:spacing w:after="0"/>
              <w:rPr>
                <w:sz w:val="22"/>
                <w:szCs w:val="22"/>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14" w:lineRule="exact"/>
        <w:rPr>
          <w:sz w:val="20"/>
          <w:szCs w:val="20"/>
          <w:color w:val="auto"/>
        </w:rPr>
      </w:pPr>
    </w:p>
    <w:p>
      <w:pPr>
        <w:jc w:val="both"/>
        <w:ind w:right="180"/>
        <w:spacing w:after="0" w:line="315" w:lineRule="auto"/>
        <w:rPr>
          <w:sz w:val="20"/>
          <w:szCs w:val="20"/>
          <w:color w:val="auto"/>
        </w:rPr>
      </w:pPr>
      <w:r>
        <w:rPr>
          <w:rFonts w:ascii="Times New Roman" w:cs="Times New Roman" w:eastAsia="Times New Roman" w:hAnsi="Times New Roman"/>
          <w:sz w:val="19"/>
          <w:szCs w:val="19"/>
          <w:b w:val="1"/>
          <w:bCs w:val="1"/>
          <w:i w:val="1"/>
          <w:iCs w:val="1"/>
          <w:color w:val="auto"/>
        </w:rPr>
        <w:t>Proposal 3</w:t>
      </w:r>
      <w:r>
        <w:rPr>
          <w:rFonts w:ascii="Times New Roman" w:cs="Times New Roman" w:eastAsia="Times New Roman" w:hAnsi="Times New Roman"/>
          <w:sz w:val="19"/>
          <w:szCs w:val="19"/>
          <w:color w:val="auto"/>
        </w:rPr>
        <w:t>. To approve, on an advisory basis, the compensation of the Company's named executive officers as disclosed in the Company's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Proxy Statement. Stockholders approved the compensation of the Company's named executive officers. The voting results were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66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For</w:t>
            </w:r>
          </w:p>
        </w:tc>
        <w:tc>
          <w:tcPr>
            <w:tcW w:w="2620" w:type="dxa"/>
            <w:vAlign w:val="bottom"/>
            <w:gridSpan w:val="2"/>
          </w:tcPr>
          <w:p>
            <w:pPr>
              <w:ind w:left="800"/>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2660" w:type="dxa"/>
            <w:vAlign w:val="bottom"/>
            <w:gridSpan w:val="2"/>
          </w:tcPr>
          <w:p>
            <w:pPr>
              <w:ind w:left="820"/>
              <w:spacing w:after="0"/>
              <w:rPr>
                <w:sz w:val="20"/>
                <w:szCs w:val="20"/>
                <w:color w:val="auto"/>
              </w:rPr>
            </w:pPr>
            <w:r>
              <w:rPr>
                <w:rFonts w:ascii="Times New Roman" w:cs="Times New Roman" w:eastAsia="Times New Roman" w:hAnsi="Times New Roman"/>
                <w:sz w:val="20"/>
                <w:szCs w:val="20"/>
                <w:b w:val="1"/>
                <w:bCs w:val="1"/>
                <w:color w:val="auto"/>
              </w:rPr>
              <w:t>Abstain</w:t>
            </w:r>
          </w:p>
        </w:tc>
        <w:tc>
          <w:tcPr>
            <w:tcW w:w="2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56"/>
        </w:trPr>
        <w:tc>
          <w:tcPr>
            <w:tcW w:w="2280" w:type="dxa"/>
            <w:vAlign w:val="bottom"/>
            <w:tcBorders>
              <w:top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rPr>
              <w:t>26,624,952</w:t>
            </w:r>
          </w:p>
        </w:tc>
        <w:tc>
          <w:tcPr>
            <w:tcW w:w="380" w:type="dxa"/>
            <w:vAlign w:val="bottom"/>
          </w:tcPr>
          <w:p>
            <w:pPr>
              <w:spacing w:after="0"/>
              <w:rPr>
                <w:sz w:val="22"/>
                <w:szCs w:val="22"/>
                <w:color w:val="auto"/>
              </w:rPr>
            </w:pPr>
          </w:p>
        </w:tc>
        <w:tc>
          <w:tcPr>
            <w:tcW w:w="224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20"/>
                <w:szCs w:val="20"/>
                <w:color w:val="auto"/>
              </w:rPr>
              <w:t>526,125</w:t>
            </w:r>
          </w:p>
        </w:tc>
        <w:tc>
          <w:tcPr>
            <w:tcW w:w="380" w:type="dxa"/>
            <w:vAlign w:val="bottom"/>
          </w:tcPr>
          <w:p>
            <w:pPr>
              <w:spacing w:after="0"/>
              <w:rPr>
                <w:sz w:val="22"/>
                <w:szCs w:val="22"/>
                <w:color w:val="auto"/>
              </w:rPr>
            </w:pPr>
          </w:p>
        </w:tc>
        <w:tc>
          <w:tcPr>
            <w:tcW w:w="228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195,228</w:t>
            </w:r>
          </w:p>
        </w:tc>
        <w:tc>
          <w:tcPr>
            <w:tcW w:w="380" w:type="dxa"/>
            <w:vAlign w:val="bottom"/>
          </w:tcPr>
          <w:p>
            <w:pPr>
              <w:spacing w:after="0"/>
              <w:rPr>
                <w:sz w:val="22"/>
                <w:szCs w:val="22"/>
                <w:color w:val="auto"/>
              </w:rPr>
            </w:pPr>
          </w:p>
        </w:tc>
        <w:tc>
          <w:tcPr>
            <w:tcW w:w="2540" w:type="dxa"/>
            <w:vAlign w:val="bottom"/>
            <w:tcBorders>
              <w:top w:val="single" w:sz="8" w:color="auto"/>
            </w:tcBorders>
          </w:tcPr>
          <w:p>
            <w:pPr>
              <w:jc w:val="right"/>
              <w:ind w:right="781"/>
              <w:spacing w:after="0"/>
              <w:rPr>
                <w:sz w:val="20"/>
                <w:szCs w:val="20"/>
                <w:color w:val="auto"/>
              </w:rPr>
            </w:pPr>
            <w:r>
              <w:rPr>
                <w:rFonts w:ascii="Times New Roman" w:cs="Times New Roman" w:eastAsia="Times New Roman" w:hAnsi="Times New Roman"/>
                <w:sz w:val="20"/>
                <w:szCs w:val="20"/>
                <w:color w:val="auto"/>
              </w:rPr>
              <w:t>9,397,708</w:t>
            </w:r>
          </w:p>
        </w:tc>
      </w:tr>
    </w:tbl>
    <w:p>
      <w:pPr>
        <w:spacing w:after="0" w:line="21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Proposal 4</w:t>
      </w:r>
      <w:r>
        <w:rPr>
          <w:rFonts w:ascii="Times New Roman" w:cs="Times New Roman" w:eastAsia="Times New Roman" w:hAnsi="Times New Roman"/>
          <w:sz w:val="20"/>
          <w:szCs w:val="20"/>
          <w:color w:val="auto"/>
        </w:rPr>
        <w:t>. To approve an amendment to the MacroGenics, Inc. 2023 Equity Incentive Plan (the "2023 Plan") to increase the number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shares of our common stock available for issuance thereunder by 1,250,000 shares. Stockholders approved the amendment to the 2023 Plan. The voting results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680" w:type="dxa"/>
            <w:vAlign w:val="bottom"/>
            <w:gridSpan w:val="2"/>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For</w:t>
            </w:r>
          </w:p>
        </w:tc>
        <w:tc>
          <w:tcPr>
            <w:tcW w:w="2600" w:type="dxa"/>
            <w:vAlign w:val="bottom"/>
            <w:gridSpan w:val="2"/>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2700" w:type="dxa"/>
            <w:vAlign w:val="bottom"/>
            <w:gridSpan w:val="2"/>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Non-Votes</w:t>
            </w:r>
          </w:p>
        </w:tc>
      </w:tr>
      <w:tr>
        <w:trPr>
          <w:trHeight w:val="256"/>
        </w:trPr>
        <w:tc>
          <w:tcPr>
            <w:tcW w:w="2280" w:type="dxa"/>
            <w:vAlign w:val="bottom"/>
            <w:tcBorders>
              <w:top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rPr>
              <w:t>25,600,112</w:t>
            </w:r>
          </w:p>
        </w:tc>
        <w:tc>
          <w:tcPr>
            <w:tcW w:w="400" w:type="dxa"/>
            <w:vAlign w:val="bottom"/>
          </w:tcPr>
          <w:p>
            <w:pPr>
              <w:spacing w:after="0"/>
              <w:rPr>
                <w:sz w:val="22"/>
                <w:szCs w:val="22"/>
                <w:color w:val="auto"/>
              </w:rPr>
            </w:pPr>
          </w:p>
        </w:tc>
        <w:tc>
          <w:tcPr>
            <w:tcW w:w="2200" w:type="dxa"/>
            <w:vAlign w:val="bottom"/>
            <w:tcBorders>
              <w:top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rPr>
              <w:t>1,671,102</w:t>
            </w:r>
          </w:p>
        </w:tc>
        <w:tc>
          <w:tcPr>
            <w:tcW w:w="400" w:type="dxa"/>
            <w:vAlign w:val="bottom"/>
          </w:tcPr>
          <w:p>
            <w:pPr>
              <w:spacing w:after="0"/>
              <w:rPr>
                <w:sz w:val="22"/>
                <w:szCs w:val="22"/>
                <w:color w:val="auto"/>
              </w:rPr>
            </w:pPr>
          </w:p>
        </w:tc>
        <w:tc>
          <w:tcPr>
            <w:tcW w:w="2280" w:type="dxa"/>
            <w:vAlign w:val="bottom"/>
            <w:tcBorders>
              <w:top w:val="single" w:sz="8" w:color="auto"/>
            </w:tcBorders>
          </w:tcPr>
          <w:p>
            <w:pPr>
              <w:jc w:val="right"/>
              <w:ind w:right="761"/>
              <w:spacing w:after="0"/>
              <w:rPr>
                <w:sz w:val="20"/>
                <w:szCs w:val="20"/>
                <w:color w:val="auto"/>
              </w:rPr>
            </w:pPr>
            <w:r>
              <w:rPr>
                <w:rFonts w:ascii="Times New Roman" w:cs="Times New Roman" w:eastAsia="Times New Roman" w:hAnsi="Times New Roman"/>
                <w:sz w:val="20"/>
                <w:szCs w:val="20"/>
                <w:color w:val="auto"/>
              </w:rPr>
              <w:t>75,091</w:t>
            </w:r>
          </w:p>
        </w:tc>
        <w:tc>
          <w:tcPr>
            <w:tcW w:w="420" w:type="dxa"/>
            <w:vAlign w:val="bottom"/>
          </w:tcPr>
          <w:p>
            <w:pPr>
              <w:spacing w:after="0"/>
              <w:rPr>
                <w:sz w:val="22"/>
                <w:szCs w:val="22"/>
                <w:color w:val="auto"/>
              </w:rPr>
            </w:pPr>
          </w:p>
        </w:tc>
        <w:tc>
          <w:tcPr>
            <w:tcW w:w="2400" w:type="dxa"/>
            <w:vAlign w:val="bottom"/>
            <w:tcBorders>
              <w:top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9,397,708</w:t>
            </w:r>
          </w:p>
        </w:tc>
      </w:tr>
    </w:tbl>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355" w:lineRule="exact"/>
        <w:rPr>
          <w:sz w:val="20"/>
          <w:szCs w:val="20"/>
          <w:color w:val="auto"/>
        </w:rPr>
      </w:pPr>
    </w:p>
    <w:p>
      <w:pPr>
        <w:ind w:right="320"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100" w:type="dxa"/>
            <w:vAlign w:val="bottom"/>
          </w:tcPr>
          <w:p>
            <w:pPr>
              <w:spacing w:after="0"/>
              <w:rPr>
                <w:sz w:val="22"/>
                <w:szCs w:val="22"/>
                <w:color w:val="auto"/>
              </w:rPr>
            </w:pPr>
          </w:p>
        </w:tc>
        <w:tc>
          <w:tcPr>
            <w:tcW w:w="7340" w:type="dxa"/>
            <w:vAlign w:val="bottom"/>
            <w:gridSpan w:val="3"/>
          </w:tcPr>
          <w:p>
            <w:pPr>
              <w:ind w:left="1500"/>
              <w:spacing w:after="0"/>
              <w:rPr>
                <w:sz w:val="20"/>
                <w:szCs w:val="20"/>
                <w:color w:val="auto"/>
              </w:rPr>
            </w:pPr>
            <w:r>
              <w:rPr>
                <w:rFonts w:ascii="Times New Roman" w:cs="Times New Roman" w:eastAsia="Times New Roman" w:hAnsi="Times New Roman"/>
                <w:sz w:val="20"/>
                <w:szCs w:val="20"/>
                <w:color w:val="auto"/>
              </w:rPr>
              <w:t>MACROGENICS, INC.</w:t>
            </w:r>
          </w:p>
        </w:tc>
      </w:tr>
      <w:tr>
        <w:trPr>
          <w:trHeight w:val="212"/>
        </w:trPr>
        <w:tc>
          <w:tcPr>
            <w:tcW w:w="310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Date: May 20, 2026</w:t>
            </w:r>
          </w:p>
        </w:tc>
        <w:tc>
          <w:tcPr>
            <w:tcW w:w="3040" w:type="dxa"/>
            <w:vAlign w:val="bottom"/>
          </w:tcPr>
          <w:p>
            <w:pPr>
              <w:ind w:left="1500"/>
              <w:spacing w:after="0" w:line="212" w:lineRule="exact"/>
              <w:rPr>
                <w:sz w:val="20"/>
                <w:szCs w:val="20"/>
                <w:color w:val="auto"/>
              </w:rPr>
            </w:pPr>
            <w:r>
              <w:rPr>
                <w:rFonts w:ascii="Times New Roman" w:cs="Times New Roman" w:eastAsia="Times New Roman" w:hAnsi="Times New Roman"/>
                <w:sz w:val="20"/>
                <w:szCs w:val="20"/>
                <w:color w:val="auto"/>
              </w:rPr>
              <w:t>By:</w:t>
            </w:r>
          </w:p>
        </w:tc>
        <w:tc>
          <w:tcPr>
            <w:tcW w:w="43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/s/ Jeffrey Peters</w:t>
            </w:r>
          </w:p>
        </w:tc>
      </w:tr>
      <w:tr>
        <w:trPr>
          <w:trHeight w:val="173"/>
        </w:trPr>
        <w:tc>
          <w:tcPr>
            <w:tcW w:w="3100" w:type="dxa"/>
            <w:vAlign w:val="bottom"/>
          </w:tcPr>
          <w:p>
            <w:pPr>
              <w:spacing w:after="0"/>
              <w:rPr>
                <w:sz w:val="15"/>
                <w:szCs w:val="15"/>
                <w:color w:val="auto"/>
              </w:rPr>
            </w:pPr>
          </w:p>
        </w:tc>
        <w:tc>
          <w:tcPr>
            <w:tcW w:w="3040" w:type="dxa"/>
            <w:vAlign w:val="bottom"/>
          </w:tcPr>
          <w:p>
            <w:pPr>
              <w:ind w:left="1500"/>
              <w:spacing w:after="0" w:line="173" w:lineRule="exact"/>
              <w:rPr>
                <w:sz w:val="20"/>
                <w:szCs w:val="20"/>
                <w:color w:val="auto"/>
              </w:rPr>
            </w:pPr>
            <w:r>
              <w:rPr>
                <w:rFonts w:ascii="Times New Roman" w:cs="Times New Roman" w:eastAsia="Times New Roman" w:hAnsi="Times New Roman"/>
                <w:sz w:val="20"/>
                <w:szCs w:val="20"/>
                <w:color w:val="auto"/>
              </w:rPr>
              <w:t>Name:</w:t>
            </w:r>
          </w:p>
        </w:tc>
        <w:tc>
          <w:tcPr>
            <w:tcW w:w="130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20"/>
                <w:szCs w:val="20"/>
                <w:color w:val="auto"/>
              </w:rPr>
              <w:t>Jeffrey Peters</w:t>
            </w:r>
          </w:p>
        </w:tc>
        <w:tc>
          <w:tcPr>
            <w:tcW w:w="3000" w:type="dxa"/>
            <w:vAlign w:val="bottom"/>
          </w:tcPr>
          <w:p>
            <w:pPr>
              <w:spacing w:after="0"/>
              <w:rPr>
                <w:sz w:val="15"/>
                <w:szCs w:val="15"/>
                <w:color w:val="auto"/>
              </w:rPr>
            </w:pPr>
          </w:p>
        </w:tc>
      </w:tr>
      <w:tr>
        <w:trPr>
          <w:trHeight w:val="198"/>
        </w:trPr>
        <w:tc>
          <w:tcPr>
            <w:tcW w:w="3100" w:type="dxa"/>
            <w:vAlign w:val="bottom"/>
          </w:tcPr>
          <w:p>
            <w:pPr>
              <w:spacing w:after="0"/>
              <w:rPr>
                <w:sz w:val="17"/>
                <w:szCs w:val="17"/>
                <w:color w:val="auto"/>
              </w:rPr>
            </w:pPr>
          </w:p>
        </w:tc>
        <w:tc>
          <w:tcPr>
            <w:tcW w:w="3040" w:type="dxa"/>
            <w:vAlign w:val="bottom"/>
          </w:tcPr>
          <w:p>
            <w:pPr>
              <w:ind w:left="1500"/>
              <w:spacing w:after="0" w:line="198" w:lineRule="exact"/>
              <w:rPr>
                <w:sz w:val="20"/>
                <w:szCs w:val="20"/>
                <w:color w:val="auto"/>
              </w:rPr>
            </w:pPr>
            <w:r>
              <w:rPr>
                <w:rFonts w:ascii="Times New Roman" w:cs="Times New Roman" w:eastAsia="Times New Roman" w:hAnsi="Times New Roman"/>
                <w:sz w:val="20"/>
                <w:szCs w:val="20"/>
                <w:color w:val="auto"/>
              </w:rPr>
              <w:t>Title:</w:t>
            </w:r>
          </w:p>
        </w:tc>
        <w:tc>
          <w:tcPr>
            <w:tcW w:w="430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w w:val="97"/>
              </w:rPr>
              <w:t>Senior Vice President, General Counsel and Corporate</w:t>
            </w:r>
          </w:p>
        </w:tc>
      </w:tr>
      <w:tr>
        <w:trPr>
          <w:trHeight w:val="258"/>
        </w:trPr>
        <w:tc>
          <w:tcPr>
            <w:tcW w:w="31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Secretary</w:t>
            </w:r>
          </w:p>
        </w:tc>
      </w:tr>
    </w:tbl>
    <w:p>
      <w:pPr>
        <w:spacing w:after="0" w:line="1" w:lineRule="exact"/>
        <w:rPr>
          <w:sz w:val="20"/>
          <w:szCs w:val="20"/>
          <w:color w:val="auto"/>
        </w:rPr>
      </w:pPr>
    </w:p>
    <w:sectPr>
      <w:pgSz w:w="11900" w:h="16838" w:orient="portrait"/>
      <w:cols w:equalWidth="0" w:num="1">
        <w:col w:w="11200"/>
      </w:cols>
      <w:pgMar w:left="320" w:top="80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2026-05-20T15:04:17Z</dcterms:created>
  <dcterms:modified xsi:type="dcterms:W3CDTF">2026-05-20T15:04:17Z</dcterms:modified>
</cp:coreProperties>
</file>